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937"/>
        <w:gridCol w:w="8664"/>
        <w:gridCol w:w="1873"/>
      </w:tblGrid>
      <w:tr w:rsidR="00B300D3" w:rsidRPr="00A50A8D">
        <w:trPr>
          <w:cantSplit/>
          <w:trHeight w:val="1530"/>
          <w:tblHeader/>
        </w:trPr>
        <w:tc>
          <w:tcPr>
            <w:tcW w:type="dxa" w:w="4937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bookmarkStart w:name="_GoBack" w:id="0"/>
          <w:bookmarkEnd w:id="0"/>
          <w:p w:rsidRDefault="00C1350E" w:rsidP="00FA168C" w:rsidR="00B300D3" w:rsidRPr="006017E9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INDICATORE</w:t>
            </w:r>
          </w:p>
        </w:tc>
        <w:tc>
          <w:tcPr>
            <w:tcW w:type="dxa" w:w="8664"/>
            <w:tcBorders>
              <w:top w:space="0" w:sz="6" w:color="auto" w:val="double"/>
              <w:left w:space="0" w:sz="6" w:color="auto" w:val="double"/>
              <w:bottom w:space="0" w:sz="6" w:color="000000" w:val="double"/>
              <w:right w:space="0" w:sz="6" w:color="000000" w:val="double"/>
            </w:tcBorders>
            <w:shd w:fill="auto" w:color="auto" w:val="clear"/>
            <w:vAlign w:val="center"/>
          </w:tcPr>
          <w:p w:rsidRDefault="00C1350E" w:rsidP="00DD4783" w:rsidR="00B300D3" w:rsidRPr="006017E9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DEFINIZIONE</w:t>
            </w:r>
          </w:p>
        </w:tc>
        <w:tc>
          <w:tcPr>
            <w:tcW w:type="dxa" w:w="1873"/>
            <w:tcBorders>
              <w:top w:space="0" w:sz="6" w:color="auto" w:val="double"/>
              <w:left w:space="0" w:sz="6" w:color="000000" w:val="double"/>
              <w:bottom w:space="0" w:sz="6" w:color="000000" w:val="double"/>
              <w:right w:space="0" w:sz="6" w:color="000000" w:val="double"/>
            </w:tcBorders>
            <w:shd w:fill="auto" w:color="auto" w:val="clear"/>
            <w:vAlign w:val="center"/>
          </w:tcPr>
          <w:p w:rsidRDefault="00C1350E" w:rsidP="00FA168C" w:rsidR="00B300D3" w:rsidRPr="006017E9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VALORE INDICATORE 2020(percentuale)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4237F1" w:rsidRPr="009A07E3">
        <w:trPr>
          <w:cantSplit/>
        </w:trPr>
        <w:tc>
          <w:tcPr>
            <w:tcW w:type="dxa" w:w="674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1</w:t>
            </w:r>
          </w:p>
        </w:tc>
        <w:tc>
          <w:tcPr>
            <w:tcW w:type="dxa" w:w="14803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Rigidita' strutturale di bilancio</w:t>
            </w: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4803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1.1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spese rigide (ripiano disavanzo, personale e debito) su entrate correnti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[ripiano disavanzo a carico dell'esercizio + Impegni (Macroaggregati 1.1 "Redditi di lavoro dipendente" + pdc 1.02.01.01.000 "IRAP" - FPV entrata concernente il Macroaggregato 1.1 + FPV personale in uscita 1.1 + 1.7 "Interessi passivi" + Titolo 4 Rimborso prestiti)] /(Accertamenti primi tre titoli Entrate 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26,14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4237F1" w:rsidRPr="009A07E3">
        <w:trPr>
          <w:cantSplit/>
        </w:trPr>
        <w:tc>
          <w:tcPr>
            <w:tcW w:type="dxa" w:w="674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2</w:t>
            </w:r>
          </w:p>
        </w:tc>
        <w:tc>
          <w:tcPr>
            <w:tcW w:type="dxa" w:w="14803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Entrate correnti</w:t>
            </w: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4803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2.1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degli accertamenti di parte corrente sulle previsioni iniziali di parte corrente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accertamenti primi tre titoli di entrata / Stanziamenti iniziali di competenza dei primi tre titoli delle Entrate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100,24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2.2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degli accertamenti di parte corrente sulle previsioni definitive di parte corrente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accertamenti primi tre titoli di entrata / Stanziamenti definitivi di competenza dei primi tre titoli delle Entrate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96,80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2.3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degli accertamenti delle entrate proprie sulle previsioni iniziali di parte corrente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accertamenti (pdc E.1.01.00.00.000 "Tributi" - "Compartecipazioni di tributi" E.1.01.04.00.000 + E.3.00.00.00.000 "Entrate extratributarie") / Stanziamenti iniziali di competenza dei primi tre titoli delle Entrate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73,53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2.4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degli accertamenti delle entrate proprie sulle previsioni definitive di parte corrente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accertamenti (pdc E.1.01.00.00.000 "Tributi" - "Compartecipazioni di tributi" E.1.01.04.00.000 + E.3.00.00.00.000 "Entrate extratributarie") / Stanziamenti definitivi di competenza dei primi tre titoli delle Entrate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71,02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2.5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degli incassi correnti sulle previsioni iniziali di parte corrente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incassi c/competenza e c/residui dei primi tre titoli di entrata / Stanziamenti iniziali di cassa dei primi tre titoli delle Entrate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88,14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2.6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degli incassi correnti sulle previsioni definitive di parte corrente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incassi c/competenza e c/residui primi tre titoli di entrata / Stanziamenti definitivi di cassa dei primi tre titoli delle Entrate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71,96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2.7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degli incassi delle entrate proprie sulle previsioni iniziali di parte corrente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incassi c/competenza e c/residui (pdc E.1.01.00.00.000 "Tributi" - "Compartecipazioni di tributi" E.1.01.04.00.000 + E.3.00.00.00.000 "Entrate extratributarie") / Stanziamenti iniziali di cassa dei primi tre titoli delle Entrate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61,03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2.8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degli incassi delle entrate proprie sulle previsioni definitive di parte corrente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incassi c/competenza e c/residui (pdc E.1.01.00.00.000 "Tributi" - "Compartecipazioni di tributi" E.1.01.04.00.000 + E.3.00.00.00.000 "Entrate extratributarie") / Stanziamenti definitivi di cassa dei primi tre titoli delle Entrate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49,83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4237F1" w:rsidRPr="009A07E3">
        <w:trPr>
          <w:cantSplit/>
        </w:trPr>
        <w:tc>
          <w:tcPr>
            <w:tcW w:type="dxa" w:w="674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3</w:t>
            </w:r>
          </w:p>
        </w:tc>
        <w:tc>
          <w:tcPr>
            <w:tcW w:type="dxa" w:w="14803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Anticipazioni dell'Istituto tesoriere</w:t>
            </w: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4803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3.1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Utilizzo medio Anticipazioni di tesoreria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Sommatoria degli utilizzi giornalieri delle anticipazioni nell'esercizio / (365 x max previsto dalla norma)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3.2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Anticipazione chiusa solo contabilmente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Anticipazione di tesoreria all'inizio dell'esercizio successivo / max previsto dalla norma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4237F1" w:rsidRPr="009A07E3">
        <w:trPr>
          <w:cantSplit/>
        </w:trPr>
        <w:tc>
          <w:tcPr>
            <w:tcW w:type="dxa" w:w="674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4</w:t>
            </w:r>
          </w:p>
        </w:tc>
        <w:tc>
          <w:tcPr>
            <w:tcW w:type="dxa" w:w="14803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Spese di personale</w:t>
            </w: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4803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4.1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della spesa di personale sulla spesa corrente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Impegni (Macroaggregato 1.1 "Redditi di lavoro dipendente" + pdc 1.02.01.01.000 "IRAP" + FPV personale in uscita 1.1 - FPV personale in entrata concernente il Macroaggregato 1.1) /(Impegni Spesa corrente - FCDE corrente + FPV concernente il Macroaggregato 1.1 - FPV di entrata concernente il Macroaggregato 1.1)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28,66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4.2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del salario accessorio ed incentivante rispetto al totale della spesa di personale Indica il peso delle componenti afferenti la contrattazione decentrata dell'ente rispetto al totale dei redditi da lavoro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Impegni (pdc 1.01.01.004 + 1.01.01.008 "indennita' e altri compensi al personale a tempo indeterminato e determinato"+ pdc 1.01.01.003 + 1.01.01.007 "straordinario al personale a tempo indeterminato e determinato" + FPV in uscita concernente il Macroaggregato 1.1 - FPV di entrata concernente il Macroaggregato 1.1) / Impegni (Macroaggregato 1.1 "Redditi di lavoro dipendente" + pdc U.1.02.01.01.000 "IRAP" + FPV in uscita concernente il Macroaggregato 1.1 - FPV in entrata concernente il Macroaggregato 1.1)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4,80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4.3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spesa personale flessibile rispetto al totale della spesa di personale Indica come gli enti soddisfano le proprie esigenze di risorse umane, mixando le varie alternative contrattuali piu' rigide (pers.dip.) o meno rigide (forme di lav.fles.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Impegni (pdc U.1.03.02.010.000 "Consulenze" + pdc U.1.03.02.12.000 "lavoro flessibile/LSU/Lavoro interinale" + pdc U.1.03.02.11.000 "Prestazioni professionali e specialistiche") /Impegni (Macroaggregato 1.1 "Redditi di lavoro dipendente" + pdc U.1.02.01.01.000 "IRAP" + FPV in uscita concernente il Macroaggregato 1.1 - FPV in entrata concernente il Macroaggregato 1.1)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3,65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4.4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Spesa di personale procapite(Indicatore di equilibrio dimensionale in valore assoluto)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Impegni (Macroaggregato 1.1 "Redditi di lavoro dipendente" + pdc 1.02.01.01.000 "IRAP" + FPV personale in uscita 1.1 - FPV personale in entrata concernente il Macroaggregato 1.1) / popolazione residente al 1 gennaio (al 1 gennaio dell'esercizio di riferimento o, se non disponibile, al 1 gennaio dell'ultimo anno disponibile)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4237F1" w:rsidRPr="009A07E3">
        <w:trPr>
          <w:cantSplit/>
        </w:trPr>
        <w:tc>
          <w:tcPr>
            <w:tcW w:type="dxa" w:w="674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5</w:t>
            </w:r>
          </w:p>
        </w:tc>
        <w:tc>
          <w:tcPr>
            <w:tcW w:type="dxa" w:w="14803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Esternalizzazione dei servizi</w:t>
            </w: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4803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5.1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Indicatore di esternalizzazione dei servizi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(pdc U.1.03.02.15.000 "Contratti di servizio pubblico" + pdc U.1.04.03.01.000 "Trasferimenti correnti a imprese controllate" + pdc U.1.04.03.02.000 "Trasferimenti correnti a altre imprese partecipate") / totale spese Titolo I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29,38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4237F1" w:rsidRPr="009A07E3">
        <w:trPr>
          <w:cantSplit/>
        </w:trPr>
        <w:tc>
          <w:tcPr>
            <w:tcW w:type="dxa" w:w="674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6</w:t>
            </w:r>
          </w:p>
        </w:tc>
        <w:tc>
          <w:tcPr>
            <w:tcW w:type="dxa" w:w="14803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Interessi passivi</w:t>
            </w: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4803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6.1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degli interessi passivi sulle entrate correnti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Impegni Macroaggregato 1.7 "Interessi passivi" / Accertamenti primi tre titoli delle Entrate ("Entrate correnti")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1,38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6.2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degli interessi passivi sulle anticipazioni sul totale della spesa per interessi passivi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Impegni voce del pdc U.1.07.06.04.000 "Interessi passivi su anticipazioni di tesoreria" / Impegni Macroaggregato 1.7 "Interessi passivi"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6.3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interessi di mora sul totale della spesa per interessi passivi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Impegni voce del pdc U.1.07.06.02.000 "Interessi di mora" / Impegni Macroaggregato 1.7 "Interessi passivi"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4237F1" w:rsidRPr="009A07E3">
        <w:trPr>
          <w:cantSplit/>
        </w:trPr>
        <w:tc>
          <w:tcPr>
            <w:tcW w:type="dxa" w:w="674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7</w:t>
            </w:r>
          </w:p>
        </w:tc>
        <w:tc>
          <w:tcPr>
            <w:tcW w:type="dxa" w:w="14803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Investimenti</w:t>
            </w: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4803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7.1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investimenti sul totale della spesa corrente e in conto capitale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Impegni (Macroaggregato 2.2 "Investimenti fissi lordi e acquisto di terreni" + Macroaggregato 2.3 "Contributi agli investimenti") / totale Impegni Tit. I + II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15,88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7.2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Investimenti diretti procapite (in valore assoluto)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Impegni per Macroaggregato 2.2 "Investimenti fissi lordi e acquisto di terreni" / popolazione residente al 1 gennaio (al 1 gennaio dell'esercizio di riferimento o, se non disponibile, al 1 gennaio dell'ultimo anno disponibile)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7.3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Contributi agli investimenti procapite (in valore assoluto)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Impegni per Macroaggregato 2.3 "Contributi agli investimenti" / popolazione residente (al 1 gennaio dell'esercizio di riferimento o, se non disponibile, al 1 gennaio dell'ultimo anno disponibile)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7.4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Investimenti complessivi procapite (in valore assoluto)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Impegni per Macroaggregati 2.2 "Investimenti fissi lordi e acquisto di terreni" e 2.3 "Contributi agli investimenti" / popolazione residente (al 1 gennaio dell'esercizio di riferimento o, se non disponibile, al 1 gennaio dell'ultimo anno disponibile)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7.5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Quota investimenti complessivi finanziati dal risparmio corrente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Margine corrente di competenza/[Impegni + relativi FPV (Macroaggregato 2.2 "Investimenti fissi lordi e acquisto di terreni" + Macroaggregato 2.3 "Contributi agli investimenti")]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7.6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Quota investimenti complessivi finanziati dal saldo positivo delle partite finanziarie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Saldo positivo delle partite finanziarie /[Impegni + relativi FPV (Macroaggregato 2.2 "Investimenti fissi lordi e acquisto di terreni" + Macroaggregato 2.3 "Contributi agli investimenti")]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7.7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Quota investimenti complessivi finanziati da debito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Accertamenti (Titolo 6"Accensione prestiti" - Categoria 6.02.02 "Anticipazioni" - Categoria 6.03.03 "Accensione prestiti a seguito di escussione di garanzie" - Accensioni di prestiti da rinegoziazioni) / [Impegni + relativi FPV (Macroaggregato 2.2 "Investimenti fissi lordi e acquisto di terreni" + Macroaggregato 2.3 "Contributi agli investimenti")]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4237F1" w:rsidRPr="009A07E3">
        <w:trPr>
          <w:cantSplit/>
        </w:trPr>
        <w:tc>
          <w:tcPr>
            <w:tcW w:type="dxa" w:w="674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8</w:t>
            </w:r>
          </w:p>
        </w:tc>
        <w:tc>
          <w:tcPr>
            <w:tcW w:type="dxa" w:w="14803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Analisi dei residui</w:t>
            </w: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4803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8.1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nuovi residui passivi di parte corrente su stock residui passivi correnti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residui passivi titolo 1 di competenza dell'esercizio / Totale residui passivi titolo 1 al 31 dicembre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89,23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8.2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nuovi residui passivi in c/capitale su stock residui passivi in conto capitale al 31 dicembre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residui passivi titolo 2 di competenza dell'esercizio/ Totale residui passivi titolo 2 al 31 dicembre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74,45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8.3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nuovi residui passivi per incremento attivita' finanziarie su stock residui passivi per incremento attivita' finanziarie al 31 dicembre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residui passivi titolo 3 di competenza dell'esercizio / Totale residui passivi titolo 3 al 31 dicembre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8.4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nuovi residui attivi di parte corrente su stock residui attivi di parte corrente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residui attivi titoli 1,2,3 di competenza dell'esercizio / Totale residui attivi titoli 1, 2 e 3 al 31 dicembre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41,04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8.5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nuovi residui attivi in c/capitale su stock residui attivi in c/capitale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residui attivi titolo 4 di competenza dell'esercizio / Totale residui attivi titolo 4 al 31 dicembre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53,71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8.6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nuovi residui attivi per riduzione di attivita' finanziarie su stock residui attivi per riduzione di attivita' finanziarie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residui attivi titolo 5 di competenza dell'esercizio / Totale residui attivi titolo 5 al 31 dicembre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4237F1" w:rsidRPr="009A07E3">
        <w:trPr>
          <w:cantSplit/>
        </w:trPr>
        <w:tc>
          <w:tcPr>
            <w:tcW w:type="dxa" w:w="674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9</w:t>
            </w:r>
          </w:p>
        </w:tc>
        <w:tc>
          <w:tcPr>
            <w:tcW w:type="dxa" w:w="14803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Smaltimento debiti non finanziari</w:t>
            </w: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4803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9.1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Smaltimento debiti commerciali nati nell'esercizio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Pagamenti di competenza (Macroaggregati 1.3 "Acquisto di beni e servizi" + 2.2 "Investimenti fissi lordi e acquisto di terreni") / Impegni di competenza (Macroaggregati 1.3 "Acquisto di beni e servizi" + 2.2 "Investimenti fissi lordi e acquisto di terreni")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59,69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9.2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Smaltimento debiti commerciali nati negli esercizi precedenti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Pagamenti c/residui (Macroaggregati 1.3 "Acquisto di beni e servizi" + 2.2 "Investimenti fissi lordi e acquisto di terreni") / stock residui al 1 gennaio (Macroaggregati 1.3 "Acquisto di beni e servizi" + 2.2 "Investimenti fissi lordi e acquisto di terreni")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87,50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9.3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Smaltimento debiti verso altre amministrazioni pubbliche nati nell'esercizio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Pagamenti di competenza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 / Impegni di competenza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2,74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9.4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Smaltimento debiti verso altre amministrazioni pubbliche nati negli esercizi precedenti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Pagamenti in c/residui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 / stock residui al 1 gennaio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60,47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9.5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Indicatore annuale di tempestivita' dei pagamenti(di cui al comma 1, dell'articolo 9, DPCM del 22 settembre 2014)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Giorni effettivi intercorrenti tra la data di scadenza della fattura o richiesta equivalente di pagamento e la data di pagamento ai fornitori moltiplicata per l'importo dovuto, rapportata alla somma degli importi pagati nel periodo di riferimento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4237F1" w:rsidRPr="009A07E3">
        <w:trPr>
          <w:cantSplit/>
        </w:trPr>
        <w:tc>
          <w:tcPr>
            <w:tcW w:type="dxa" w:w="674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10</w:t>
            </w:r>
          </w:p>
        </w:tc>
        <w:tc>
          <w:tcPr>
            <w:tcW w:type="dxa" w:w="14803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Debiti finanziari</w:t>
            </w: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4803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10.1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estinzioni anticipate debiti finanziari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Impegni per estinzioni anticipate / Debito da finanziamento al 31 dicembre anno precedente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10.2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estinzioni ordinarie debiti finanziari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(Totale impegni Titolo 4 della spesa - Impegni estinzioni anticipate) / Debito da finanziamento al 31 dicembre anno precedente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10.3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Sostenibilita' debiti finanziari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[Impegni (Totale 1.7 "Interessi passivi" - "Interessi di mora" (U.1.07.06.02.000) - "Interessi per anticipazioni prestiti" (U.1.07.06.04.000) + Titolo 4 della spesa - estinzioni anticipate) - (Accertamenti Entrate categoria E.4.02.06.00.000 "Contributi agli investimenti direttamente destinati al rimborso di prestiti da amministrazioni pubbliche") + Trasferimenti in conto capitale per assunzione di debiti dell'amministrazione da parte di amministrazioni pubbliche (E.4.03.01.00.000) + Trasferimenti in conto capitale da parte di amministrazioni pubbliche per cancellazione di debiti dell'amministrazione (E.4.03.04.00.000)] / Accertamenti titoli 1, 2 e 3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1,49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10.4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Indebitamento procapite (in valore assoluto)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Debito di finanziamento al 31/12 / popolazione residente (al 1 gennaio dell'esercizio di riferimento o, se non disponibile, al 1 gennaio dell'ultimo anno disponibile)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4237F1" w:rsidRPr="009A07E3">
        <w:trPr>
          <w:cantSplit/>
        </w:trPr>
        <w:tc>
          <w:tcPr>
            <w:tcW w:type="dxa" w:w="674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11</w:t>
            </w:r>
          </w:p>
        </w:tc>
        <w:tc>
          <w:tcPr>
            <w:tcW w:type="dxa" w:w="14803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Composizione dell'avanzo di amministrazione</w:t>
            </w: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4803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11.1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quota libera di parte corrente nell'avanzo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Quota libera di parte corrente dell'avanzo/Avanzo di amministrazione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0,64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11.2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quota libera in c/capitale nell'avanzo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Quota libera in conto capitale dell'avanzo/Avanzo di amministrazione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1,41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11.3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quota accantonata nell'avanzo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Quota accantonata dell'avanzo/Avanzo di amministrazione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90,61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11.4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quota vincolata nell'avanzo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Quota vincolata dell'avanzo/Avanzo di amministrazione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7,34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4237F1" w:rsidRPr="009A07E3">
        <w:trPr>
          <w:cantSplit/>
        </w:trPr>
        <w:tc>
          <w:tcPr>
            <w:tcW w:type="dxa" w:w="674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12</w:t>
            </w:r>
          </w:p>
        </w:tc>
        <w:tc>
          <w:tcPr>
            <w:tcW w:type="dxa" w:w="14803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Disavanzo di amministrazione</w:t>
            </w: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4803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12.1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Quota disavanzo ripianato nell'esercizio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Disavanzo di amministrazione esercizio precedente - Disavanzo di amministrazione esercizio in corso / Totale Disavanzo esercizio precedente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 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12.2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Incremento del disavanzo rispetto all'esercizio precedente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Disavanzo di amministrazione esercizio in corso - Disavanzo di amministrazione esercizio precedente / Totale Disavanzo esercizio precedente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 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12.3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SostenibilitA patrimoniale del disavanzo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disavanzo di amministrazione / Patrimonio netto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 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12.4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Sostenibilita' disavanzo effettivamente a carico dell'esercizio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Disavanzo iscritto in spesa del conto del bilancio / Accertamenti dei titoli 1, 2 e 3 delle entrate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4237F1" w:rsidRPr="009A07E3">
        <w:trPr>
          <w:cantSplit/>
        </w:trPr>
        <w:tc>
          <w:tcPr>
            <w:tcW w:type="dxa" w:w="674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13</w:t>
            </w:r>
          </w:p>
        </w:tc>
        <w:tc>
          <w:tcPr>
            <w:tcW w:type="dxa" w:w="14803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Debiti fuori bilancio</w:t>
            </w: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4803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13.1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Debiti riconosciuti e finanziati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Importo debiti fuori bilancio riconosciuti e finanziati / Totale impegni titolo I e titolo II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13.2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Debiti in corso di riconoscimento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Importo debiti fuori bilancio in corso di riconoscimento/Totale accertamento entrate dei titoli 1, 2 e 3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13.3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Debiti riconosciuti e in corso di finanziamento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Importo debiti fuori bilancio riconosciuti e in corso di finanziamento/Totale accertamento entrate dei titoli 1, 2 e 3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0,00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4237F1" w:rsidRPr="009A07E3">
        <w:trPr>
          <w:cantSplit/>
        </w:trPr>
        <w:tc>
          <w:tcPr>
            <w:tcW w:type="dxa" w:w="674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14</w:t>
            </w:r>
          </w:p>
        </w:tc>
        <w:tc>
          <w:tcPr>
            <w:tcW w:type="dxa" w:w="14803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Fondo pluriennale vincolato</w:t>
            </w: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4803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14.1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Utilizzo del FPV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(Fondo pluriennale vincolato corrente e capitale iscritto in entrata del bilancio - Quota del fondo pluriennale vincolato corrente e capitale non utilizzata nel corso dell'esercizio e rinviata agli esercizi successivi) / Fondo pluriennale vincolato corrente e capitale iscritto in entrata nel bilancio Per il FPV riferirsi ai valori riportati nell'allegato del rendiconto concernente il FPV, totale delle colonne a) e c)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63,49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4237F1" w:rsidRPr="009A07E3">
        <w:trPr>
          <w:cantSplit/>
        </w:trPr>
        <w:tc>
          <w:tcPr>
            <w:tcW w:type="dxa" w:w="674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tcBorders>
              <w:bottom w:val="nil"/>
            </w:tcBorders>
            <w:shd w:fill="auto" w:color="auto" w:val="clear"/>
            <w:vAlign w:val="center"/>
          </w:tcPr>
          <w:p w:rsidRDefault="004237F1" w:rsidP="00423032" w:rsidR="004237F1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15</w:t>
            </w:r>
          </w:p>
        </w:tc>
        <w:tc>
          <w:tcPr>
            <w:tcW w:type="dxa" w:w="14803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3423B5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6"/>
                <w:szCs w:val="16"/>
                <w:lang w:eastAsia="it-IT"/>
              </w:rPr>
              <w:t xml:space="preserve">Partite di giro e conto terzi</w:t>
            </w:r>
          </w:p>
        </w:tc>
      </w:tr>
      <w:tr w:rsidR="009A07E3" w:rsidRPr="009A07E3">
        <w:trPr>
          <w:cantSplit/>
        </w:trPr>
        <w:tc>
          <w:tcPr>
            <w:tcW w:type="dxa" w:w="674"/>
            <w:tcBorders>
              <w:top w:space="0" w:sz="6" w:color="auto" w:val="double"/>
              <w:left w:space="0" w:sz="6" w:color="auto" w:val="double"/>
              <w:bottom w:val="nil"/>
              <w:right w:val="nil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type="dxa" w:w="14803"/>
            <w:tcBorders>
              <w:top w:space="0" w:sz="6" w:color="auto" w:val="double"/>
              <w:left w:val="nil"/>
              <w:bottom w:val="nil"/>
              <w:right w:space="0" w:sz="6" w:color="auto" w:val="double"/>
            </w:tcBorders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15.1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partite di giro e conto terzi in entrata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accertamenti Entrate per conto terzi e partite di giro / Totale accertamenti primi tre titoli delle entrate (al netto delle operazioni riguardanti la gestione della cassa vincolata)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12,77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4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81"/>
        <w:gridCol w:w="4242"/>
        <w:gridCol w:w="8678"/>
        <w:gridCol w:w="1873"/>
      </w:tblGrid>
      <w:tr w:rsidR="00C7051C" w:rsidRPr="00DE0DC3">
        <w:trPr>
          <w:cantSplit/>
          <w:trHeight w:val="335"/>
        </w:trPr>
        <w:tc>
          <w:tcPr>
            <w:tcW w:type="dxa" w:w="681"/>
            <w:shd w:fill="auto" w:color="auto" w:val="clear"/>
          </w:tcPr>
          <w:p w:rsidRDefault="00C7051C" w:rsidP="00F87A6F" w:rsidR="00C7051C" w:rsidRPr="00DE0DC3">
            <w:pPr>
              <w:spacing w:lineRule="auto" w:line="240" w:after="0"/>
              <w:jc w:val="center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bookmarkStart w:name="Testo1" w:id="0"/>
            <w:bookmarkStart w:name="_GoBack" w:id="1"/>
            <w:bookmarkEnd w:id="1"/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bookmarkEnd w:id="0"/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15.2</w:t>
            </w: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  <w:tc>
          <w:tcPr>
            <w:tcW w:type="dxa" w:w="4242"/>
            <w:tcBorders>
              <w:right w:val="nil"/>
            </w:tcBorders>
            <w:shd w:fill="auto" w:color="auto" w:val="clear"/>
          </w:tcPr>
          <w:p w:rsidRDefault="00C7051C" w:rsidP="00F87A6F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Incidenza partite di giro e conto terzi in uscita</w:t>
            </w:r>
            <w:r>
              <w:rPr>
                <w:rFonts w:cs="Calibri" w:eastAsia="Times New Roman"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8678"/>
            <w:tcBorders>
              <w:left w:val="nil"/>
            </w:tcBorders>
            <w:shd w:fill="auto" w:color="auto" w:val="clear"/>
          </w:tcPr>
          <w:p w:rsidRDefault="00C7051C" w:rsidR="00C7051C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</w:p>
          <w:p w:rsidRDefault="00F87A6F" w:rsidP="00612BEB" w:rsidR="00C7051C" w:rsidRPr="00612BEB">
            <w:pPr>
              <w:spacing w:lineRule="auto" w:line="240" w:after="0"/>
              <w:rPr>
                <w:rFonts w:cs="Calibri" w:eastAsia="Times New Roman"/>
                <w:bCs/>
                <w:sz w:val="8"/>
                <w:szCs w:val="8"/>
                <w:lang w:eastAsia="it-IT"/>
              </w:rPr>
            </w:pPr>
            <w:r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 xml:space="preserve">Totale impegni Uscite per conto terzi e partite di giro / Totale impegni del titolo I della spesa (al netto delle operazioni riguardanti la gestione della cassa vincolata)</w:t>
            </w:r>
          </w:p>
        </w:tc>
        <w:tc>
          <w:tcPr>
            <w:tcW w:type="dxa" w:w="1873"/>
            <w:shd w:fill="auto" w:color="auto" w:val="clear"/>
          </w:tcPr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  <w:r w:rsidR="00F87A6F">
              <w:rPr>
                <w:rFonts w:cs="Calibri" w:eastAsia="Times New Roman"/>
                <w:bCs/>
                <w:noProof/>
                <w:sz w:val="14"/>
                <w:szCs w:val="14"/>
                <w:lang w:eastAsia="it-IT"/>
              </w:rPr>
              <w:t>14,88</w:t>
            </w:r>
          </w:p>
          <w:p w:rsidRDefault="00C7051C" w:rsidP="00F37BE0" w:rsidR="00C7051C" w:rsidRPr="00DE0DC3">
            <w:pPr>
              <w:spacing w:lineRule="auto" w:line="240" w:after="0"/>
              <w:jc w:val="right"/>
              <w:rPr>
                <w:rFonts w:cs="Calibri" w:eastAsia="Times New Roman"/>
                <w:bCs/>
                <w:sz w:val="14"/>
                <w:szCs w:val="14"/>
                <w:lang w:eastAsia="it-IT"/>
              </w:rPr>
            </w:pPr>
            <w:r w:rsidRPr="0012555F">
              <w:rPr>
                <w:rFonts w:cs="Calibri" w:eastAsia="Times New Roman"/>
                <w:bCs/>
                <w:sz w:val="6"/>
                <w:szCs w:val="6"/>
                <w:lang w:eastAsia="it-IT"/>
              </w:rPr>
              <w:br/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674"/>
        <w:gridCol w:w="14803"/>
      </w:tblGrid>
      <w:tr w:rsidR="009A07E3" w:rsidRPr="009A07E3">
        <w:trPr>
          <w:cantSplit/>
        </w:trPr>
        <w:tc>
          <w:tcPr>
            <w:tcW w:type="dxa" w:w="674"/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4803"/>
            <w:shd w:fill="auto" w:color="auto" w:val="clear"/>
            <w:vAlign w:val="center"/>
          </w:tcPr>
          <w:p w:rsidRDefault="009A07E3" w:rsidP="00E962DC" w:rsidR="009A07E3" w:rsidRPr="009A07E3">
            <w:pPr>
              <w:spacing w:lineRule="auto" w:line="240" w:after="0"/>
              <w:rPr>
                <w:rFonts w:cs="Calibri" w:eastAsia="Times New Roman"/>
                <w:b/>
                <w:bCs/>
                <w:sz w:val="8"/>
                <w:szCs w:val="8"/>
                <w:lang w:eastAsia="it-IT"/>
              </w:rPr>
            </w:pPr>
          </w:p>
        </w:tc>
      </w:tr>
    </w:tbl>
    <w:sectPr w:rsidSect="003364C9" w:rsidR="00EB7A4A">
      <w:headerReference w:type="default" r:id="rId8"/>
      <w:pgSz w:code="9" w:orient="landscape" w:h="11906" w:w="16838"/>
      <w:pgMar w:gutter="0" w:footer="720" w:header="720" w:left="539" w:bottom="539" w:right="641" w:top="539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BE7666" w:rsidR="00BE7666">
      <w:r>
        <w:separator/>
      </w:r>
    </w:p>
  </w:endnote>
  <w:endnote w:id="0" w:type="continuationSeparator">
    <w:p w:rsidRDefault="00BE7666" w:rsidR="00BE766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Arial Narrow">
    <w:panose1 w:val="020B0606020202030204"/>
    <w:charset w:val="00"/>
    <w:family w:val="swiss"/>
    <w:pitch w:val="variable"/>
    <w:sig w:csb1="00000000" w:csb0="0000009F" w:usb3="00000000" w:usb2="00000000" w:usb1="00000800" w:usb0="00000287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BE7666" w:rsidR="00BE7666">
      <w:r>
        <w:separator/>
      </w:r>
    </w:p>
  </w:footnote>
  <w:footnote w:id="0" w:type="continuationSeparator">
    <w:p w:rsidRDefault="00BE7666" w:rsidR="00BE766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W w:type="dxa" w:w="15474"/>
      <w:tblInd w:type="dxa" w:w="47"/>
      <w:tblLayout w:type="fixed"/>
      <w:tblCellMar>
        <w:left w:type="dxa" w:w="70"/>
        <w:right w:type="dxa" w:w="70"/>
      </w:tblCellMar>
      <w:tblLook w:val="04A0"/>
    </w:tblPr>
    <w:tblGrid>
      <w:gridCol w:w="15474"/>
    </w:tblGrid>
    <w:tr w:rsidR="001C09B1" w:rsidRPr="006017E9">
      <w:trPr>
        <w:cantSplit/>
        <w:trHeight w:val="359"/>
        <w:tblHeader/>
      </w:trPr>
      <w:tc>
        <w:tcPr>
          <w:tcW w:type="dxa" w:w="15474"/>
          <w:shd w:fill="auto" w:color="auto" w:val="clear"/>
          <w:vAlign w:val="center"/>
        </w:tcPr>
        <w:bookmarkStart w:name="_GoBack" w:id="0"/>
        <w:bookmarkEnd w:id="0"/>
        <w:p w:rsidRDefault="00347AFC" w:rsidP="001C09B1" w:rsidR="001C09B1" w:rsidRPr="001C09B1">
          <w:pPr>
            <w:spacing w:lineRule="auto" w:line="240" w:after="0"/>
            <w:rPr>
              <w:rFonts w:cs="Calibri" w:eastAsia="Times New Roman"/>
              <w:bCs/>
              <w:sz w:val="20"/>
              <w:szCs w:val="20"/>
              <w:lang w:eastAsia="it-IT"/>
            </w:rPr>
          </w:pPr>
          <w:r>
            <w:rPr>
              <w:rFonts w:cs="Calibri" w:eastAsia="Times New Roman"/>
              <w:bCs/>
              <w:noProof/>
              <w:sz w:val="20"/>
              <w:szCs w:val="20"/>
              <w:lang w:eastAsia="it-IT"/>
            </w:rPr>
            <w:t xml:space="preserve">COMUNE DI PIEVE A NIEVOLE</w:t>
          </w:r>
        </w:p>
      </w:tc>
    </w:tr>
    <w:tr w:rsidR="001C09B1" w:rsidRPr="006017E9">
      <w:trPr>
        <w:cantSplit/>
        <w:tblHeader/>
      </w:trPr>
      <w:tc>
        <w:tcPr>
          <w:tcW w:type="dxa" w:w="15474"/>
          <w:shd w:fill="auto" w:color="auto" w:val="clear"/>
          <w:vAlign w:val="center"/>
        </w:tcPr>
        <w:p w:rsidRDefault="00347AFC" w:rsidP="001C09B1" w:rsidR="001C09B1" w:rsidRPr="001C09B1">
          <w:pPr>
            <w:spacing w:lineRule="auto" w:line="240" w:after="0"/>
            <w:jc w:val="right"/>
            <w:rPr>
              <w:rFonts w:cs="Calibri" w:eastAsia="Times New Roman"/>
              <w:bCs/>
              <w:sz w:val="20"/>
              <w:szCs w:val="20"/>
              <w:lang w:eastAsia="it-IT"/>
            </w:rPr>
          </w:pPr>
          <w:r>
            <w:rPr>
              <w:rFonts w:cs="Calibri" w:eastAsia="Times New Roman"/>
              <w:bCs/>
              <w:noProof/>
              <w:sz w:val="20"/>
              <w:szCs w:val="20"/>
              <w:lang w:eastAsia="it-IT"/>
            </w:rPr>
            <w:t xml:space="preserve">Allegato n. 2-a</w:t>
          </w:r>
        </w:p>
      </w:tc>
    </w:tr>
    <w:tr w:rsidR="001C09B1" w:rsidRPr="006017E9">
      <w:trPr>
        <w:cantSplit/>
        <w:trHeight w:val="117"/>
        <w:tblHeader/>
      </w:trPr>
      <w:tc>
        <w:tcPr>
          <w:tcW w:type="dxa" w:w="15474"/>
          <w:shd w:fill="auto" w:color="auto" w:val="clear"/>
          <w:vAlign w:val="center"/>
        </w:tcPr>
        <w:p w:rsidRDefault="001C09B1" w:rsidP="00D2767C" w:rsidR="001C09B1">
          <w:pPr>
            <w:spacing w:lineRule="auto" w:line="240" w:after="0"/>
            <w:jc w:val="center"/>
            <w:rPr>
              <w:rFonts w:cs="Calibri" w:eastAsia="Times New Roman"/>
              <w:b/>
              <w:bCs/>
              <w:sz w:val="20"/>
              <w:szCs w:val="20"/>
              <w:lang w:eastAsia="it-IT"/>
            </w:rPr>
          </w:pPr>
        </w:p>
      </w:tc>
    </w:tr>
    <w:tr w:rsidR="000669DE" w:rsidRPr="006017E9">
      <w:trPr>
        <w:cantSplit/>
        <w:tblHeader/>
      </w:trPr>
      <w:tc>
        <w:tcPr>
          <w:tcW w:type="dxa" w:w="15474"/>
          <w:shd w:fill="auto" w:color="auto" w:val="clear"/>
          <w:vAlign w:val="center"/>
        </w:tcPr>
        <w:p w:rsidRDefault="00347AFC" w:rsidP="00D2767C" w:rsidR="000669DE">
          <w:pPr>
            <w:spacing w:lineRule="auto" w:line="240" w:after="0"/>
            <w:jc w:val="center"/>
            <w:rPr>
              <w:rFonts w:cs="Calibri" w:eastAsia="Times New Roman"/>
              <w:b/>
              <w:bCs/>
              <w:sz w:val="20"/>
              <w:szCs w:val="20"/>
              <w:lang w:eastAsia="it-IT"/>
            </w:rPr>
          </w:pPr>
          <w:r>
            <w:rPr>
              <w:rFonts w:cs="Calibri" w:eastAsia="Times New Roman"/>
              <w:b/>
              <w:bCs/>
              <w:noProof/>
              <w:sz w:val="20"/>
              <w:szCs w:val="20"/>
              <w:lang w:eastAsia="it-IT"/>
            </w:rPr>
            <w:t xml:space="preserve">Piano degli indicatori di bilancio</w:t>
          </w:r>
        </w:p>
        <w:p w:rsidRDefault="00347AFC" w:rsidP="00D2767C" w:rsidR="000669DE">
          <w:pPr>
            <w:spacing w:lineRule="auto" w:line="240" w:after="0"/>
            <w:jc w:val="center"/>
            <w:rPr>
              <w:rFonts w:cs="Calibri" w:eastAsia="Times New Roman"/>
              <w:b/>
              <w:bCs/>
              <w:sz w:val="20"/>
              <w:szCs w:val="20"/>
              <w:lang w:eastAsia="it-IT"/>
            </w:rPr>
          </w:pPr>
          <w:r>
            <w:rPr>
              <w:rFonts w:cs="Calibri" w:eastAsia="Times New Roman"/>
              <w:b/>
              <w:bCs/>
              <w:noProof/>
              <w:sz w:val="20"/>
              <w:szCs w:val="20"/>
              <w:lang w:eastAsia="it-IT"/>
            </w:rPr>
            <w:t xml:space="preserve">Indicatori sintetici</w:t>
          </w:r>
        </w:p>
        <w:p w:rsidRDefault="00347AFC" w:rsidP="00D2767C" w:rsidR="001C09B1">
          <w:pPr>
            <w:spacing w:lineRule="auto" w:line="240" w:after="0"/>
            <w:jc w:val="center"/>
            <w:rPr>
              <w:rFonts w:cs="Calibri" w:eastAsia="Times New Roman"/>
              <w:b/>
              <w:bCs/>
              <w:sz w:val="20"/>
              <w:szCs w:val="20"/>
              <w:lang w:eastAsia="it-IT"/>
            </w:rPr>
          </w:pPr>
          <w:r>
            <w:rPr>
              <w:rFonts w:cs="Calibri" w:eastAsia="Times New Roman"/>
              <w:b/>
              <w:bCs/>
              <w:noProof/>
              <w:sz w:val="20"/>
              <w:szCs w:val="20"/>
              <w:lang w:eastAsia="it-IT"/>
            </w:rPr>
            <w:t xml:space="preserve">Rendiconto esercizio 2020</w:t>
          </w:r>
        </w:p>
      </w:tc>
    </w:tr>
    <w:tr w:rsidR="000669DE" w:rsidRPr="00A50A8D">
      <w:trPr>
        <w:cantSplit/>
        <w:tblHeader/>
      </w:trPr>
      <w:tc>
        <w:tcPr>
          <w:tcW w:type="dxa" w:w="15474"/>
          <w:shd w:fill="auto" w:color="auto" w:val="clear"/>
          <w:vAlign w:val="center"/>
        </w:tcPr>
        <w:p w:rsidRDefault="000669DE" w:rsidP="000669DE" w:rsidR="000669DE" w:rsidRPr="00A50A8D">
          <w:pPr>
            <w:spacing w:lineRule="auto" w:line="240" w:after="0"/>
            <w:jc w:val="right"/>
            <w:rPr>
              <w:rFonts w:cs="Calibri" w:eastAsia="Times New Roman"/>
              <w:b/>
              <w:bCs/>
              <w:sz w:val="12"/>
              <w:szCs w:val="12"/>
              <w:lang w:eastAsia="it-IT"/>
            </w:rPr>
          </w:pP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t xml:space="preserve">Pag. </w: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begin"/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instrText xml:space="preserve"> PAGE    \* MERGEFORMAT </w:instrTex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separate"/>
          </w:r>
          <w:r>
            <w:rPr>
              <w:rFonts w:cs="Calibri" w:eastAsia="Times New Roman"/>
              <w:b/>
              <w:bCs/>
              <w:noProof/>
              <w:sz w:val="12"/>
              <w:szCs w:val="12"/>
              <w:lang w:eastAsia="it-IT"/>
            </w:rPr>
            <w:t>1</w: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end"/>
          </w:r>
        </w:p>
      </w:tc>
    </w:tr>
  </w:tbl>
  <w:p w:rsidRDefault="001B162D" w:rsidP="00C502C6" w:rsidR="00EA5073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90"/>
  <w:attachedTemplate r:id="rId1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EB7A4A"/>
    <w:rsid w:val="00234688"/>
    <w:rsid w:val="003364C9"/>
    <w:rsid w:val="005C2DF3"/>
    <w:rsid w:val="006D4E63"/>
    <w:rsid w:val="009F1507"/>
    <w:rsid w:val="00AD2D80"/>
    <w:rsid w:val="00BE7666"/>
    <w:rsid w:val="00EB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it-IT" w:val="it-IT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Normale" w:type="paragraph">
    <w:name w:val="Normal"/>
    <w:qFormat/>
    <w:rPr>
      <w:sz w:val="24"/>
      <w:szCs w:val="24"/>
    </w:rPr>
  </w:style>
  <w:style w:styleId="Titolo2" w:type="paragraph">
    <w:name w:val="heading 2"/>
    <w:basedOn w:val="Normale"/>
    <w:next w:val="Normale"/>
    <w:qFormat/>
    <w:pPr>
      <w:keepNext/>
      <w:outlineLvl w:val="1"/>
    </w:pPr>
    <w:rPr>
      <w:rFonts w:hAnsi="Arial Narrow" w:ascii="Arial Narrow"/>
      <w:b/>
      <w:sz w:val="32"/>
    </w:rPr>
  </w:style>
  <w:style w:styleId="Titolo3" w:type="paragraph">
    <w:name w:val="heading 3"/>
    <w:basedOn w:val="Normale"/>
    <w:next w:val="Normale"/>
    <w:qFormat/>
    <w:pPr>
      <w:keepNext/>
      <w:outlineLvl w:val="2"/>
    </w:pPr>
    <w:rPr>
      <w:b/>
      <w:sz w:val="22"/>
      <w:lang w:val="en-GB"/>
    </w:rPr>
  </w:style>
  <w:style w:default="true" w:styleId="Carpredefinitoparagrafo" w:type="character">
    <w:name w:val="Default Paragraph Font"/>
    <w:semiHidden/>
  </w:style>
  <w:style w:default="true" w:styleId="Tabellanorma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essunelenco" w:type="numbering">
    <w:name w:val="No List"/>
    <w:semiHidden/>
  </w:style>
  <w:style w:styleId="Intestazione" w:type="paragraph">
    <w:name w:val="header"/>
    <w:basedOn w:val="Normale"/>
    <w:pPr>
      <w:tabs>
        <w:tab w:pos="4819" w:val="center"/>
        <w:tab w:pos="9638" w:val="right"/>
      </w:tabs>
    </w:pPr>
  </w:style>
  <w:style w:styleId="Pidipagina" w:type="paragraph">
    <w:name w:val="footer"/>
    <w:basedOn w:val="Normale"/>
    <w:pPr>
      <w:tabs>
        <w:tab w:pos="4819" w:val="center"/>
        <w:tab w:pos="9638" w:val="right"/>
      </w:tabs>
    </w:pPr>
  </w:style>
  <w:style w:styleId="Numeropagina" w:type="character">
    <w:name w:val="page number"/>
    <w:basedOn w:val="Carpredefinitoparagrafo"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7" Type="http://schemas.openxmlformats.org/officeDocument/2006/relationships/theme" Target="theme/theme1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fontTable" Target="fontTable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Relationship Id="rId8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G:\work32\StampeWE\StampeW.dot" TargetMode="External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Tema di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StampeW.dot</properties:Template>
  <properties:Company>Akros Informatica s.r.l.</properties:Company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HeadingPairs>
    <vt:vector size="2" baseType="variant">
      <vt:variant>
        <vt:lpstr>Titolo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2019-04-10T14:11:00Z</dcterms:created>
  <dc:creator>HrGest</dc:creator>
  <dc:description/>
  <cp:keywords/>
  <cp:lastModifiedBy>docx4j</cp:lastModifiedBy>
  <dcterms:modified xmlns:xsi="http://www.w3.org/2001/XMLSchema-instance" xsi:type="dcterms:W3CDTF">2019-04-10T14:11:00Z</dcterms:modified>
  <cp:revision>2</cp:revision>
  <dc:subject/>
  <dc:title/>
</cp:coreProperties>
</file>