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868"/>
        <w:gridCol w:w="1620"/>
      </w:tblGrid>
      <w:tr w:rsidR="00D373C6" w:rsidRPr="008B414F" w:rsidTr="00E04A47">
        <w:trPr>
          <w:trHeight w:val="206"/>
        </w:trPr>
        <w:tc>
          <w:tcPr>
            <w:tcW w:w="85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373C6" w:rsidRPr="00E04A47" w:rsidRDefault="00D373C6" w:rsidP="00375DE9">
            <w:pPr>
              <w:rPr>
                <w:b/>
                <w:sz w:val="12"/>
                <w:szCs w:val="12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1) Determinazione del risultato di amministrazione presunto al 31/12 </w:t>
            </w:r>
            <w:r w:rsidRPr="00E04A47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</w:p>
        </w:tc>
      </w:tr>
      <w:tr w:rsidR="00D373C6" w:rsidRPr="008B414F" w:rsidTr="00E04A4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Risultato di amministrazione iniziale dell’esercizio </w:t>
            </w:r>
            <w:r w:rsidRPr="00E04A47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 w:rsidRPr="00E04A47">
              <w:rPr>
                <w:b/>
                <w:noProof/>
                <w:sz w:val="12"/>
                <w:szCs w:val="12"/>
              </w:rPr>
              <w:t>2.354.278,64</w:t>
            </w:r>
          </w:p>
        </w:tc>
      </w:tr>
      <w:tr w:rsidR="00D373C6" w:rsidRPr="008B414F" w:rsidTr="00E04A47">
        <w:trPr>
          <w:trHeight w:val="227"/>
        </w:trPr>
        <w:tc>
          <w:tcPr>
            <w:tcW w:w="1080" w:type="dxa"/>
            <w:tcBorders>
              <w:top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D373C6" w:rsidRPr="00E04A47" w:rsidRDefault="00D373C6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(+)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Fondo pluriennale vincolato iniziale dell’esercizio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579.457,88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E24F9F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(+)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Entrate già accertate nell’esercizio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8.674.214,37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(-)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Uscite già impegnate nell’esercizio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8.729.601,77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(-)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Riduzione dei residui attivi già verificatasi nell'esercizio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(+)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Incremento dei residui attivi già verificatasi nell'esercizio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1A0D7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(+)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Riduzione dei residui passivi già verificatasi nell'esercizio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16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E04A47">
              <w:rPr>
                <w:b/>
                <w:sz w:val="12"/>
                <w:szCs w:val="12"/>
              </w:rPr>
              <w:t>(=)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Risultato di amministrazione dell’esercizio </w:t>
            </w:r>
            <w:r w:rsidRPr="00E04A47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 alla data di redazione del bilancio dell’anno </w:t>
            </w:r>
            <w:r w:rsidRPr="00E04A47">
              <w:rPr>
                <w:rFonts w:ascii="Verdana" w:hAnsi="Verdana"/>
                <w:b/>
                <w:noProof/>
                <w:sz w:val="11"/>
                <w:szCs w:val="11"/>
              </w:rPr>
              <w:t>2021</w:t>
            </w: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 w:rsidRPr="00E04A47">
              <w:rPr>
                <w:b/>
                <w:noProof/>
                <w:sz w:val="12"/>
                <w:szCs w:val="12"/>
              </w:rPr>
              <w:t>2.878.349,12</w:t>
            </w:r>
          </w:p>
        </w:tc>
      </w:tr>
      <w:tr w:rsidR="00D373C6" w:rsidRPr="008B414F" w:rsidTr="00E04A47">
        <w:trPr>
          <w:trHeight w:val="227"/>
        </w:trPr>
        <w:tc>
          <w:tcPr>
            <w:tcW w:w="1080" w:type="dxa"/>
            <w:tcBorders>
              <w:top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D373C6" w:rsidRPr="00E04A47" w:rsidRDefault="00D373C6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(+)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Entrate che prevedo di accertare per il restante periodo dell’esercizio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(-)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Spese che prevedo di impegnare per il restante periodo dell’esercizio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(-)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Riduzione dei residui attivi presunta per il restante periodo dell'esercizio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(+)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Incremento dei residui attivi presunto per il restante periodo dell'esercizio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08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1A0D7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(+)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Riduzione dei residui passivi presunta per il restante periodo dell'esercizio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</w:tcPr>
          <w:p w:rsidR="00D373C6" w:rsidRPr="00E04A47" w:rsidRDefault="00D373C6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 xml:space="preserve">- </w:t>
            </w:r>
          </w:p>
        </w:tc>
        <w:tc>
          <w:tcPr>
            <w:tcW w:w="5868" w:type="dxa"/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Fondo Pluriennale vincolato finale presunto dell’esercizio 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16"/>
        </w:trPr>
        <w:tc>
          <w:tcPr>
            <w:tcW w:w="1080" w:type="dxa"/>
            <w:tcBorders>
              <w:bottom w:val="single" w:sz="2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868" w:type="dxa"/>
            <w:tcBorders>
              <w:bottom w:val="single" w:sz="2" w:space="0" w:color="auto"/>
            </w:tcBorders>
          </w:tcPr>
          <w:p w:rsidR="00D373C6" w:rsidRPr="00E04A47" w:rsidRDefault="00D373C6" w:rsidP="006D4947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E04A47">
              <w:rPr>
                <w:b/>
                <w:sz w:val="12"/>
                <w:szCs w:val="12"/>
              </w:rPr>
              <w:t>(=)</w:t>
            </w:r>
          </w:p>
        </w:tc>
        <w:tc>
          <w:tcPr>
            <w:tcW w:w="586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73C6" w:rsidRPr="00E04A47" w:rsidRDefault="00D373C6" w:rsidP="00E04A47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A) Risultato di amministrazione presunto al 31/12 </w:t>
            </w:r>
            <w:r w:rsidRPr="00E04A47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 w:rsidRPr="00E04A47">
              <w:rPr>
                <w:b/>
                <w:noProof/>
                <w:sz w:val="12"/>
                <w:szCs w:val="12"/>
              </w:rPr>
              <w:t>2.878.349,12</w:t>
            </w:r>
          </w:p>
        </w:tc>
      </w:tr>
    </w:tbl>
    <w:p w:rsidR="00D373C6" w:rsidRDefault="00D373C6" w:rsidP="007B04C3">
      <w:pPr>
        <w:rPr>
          <w:sz w:val="12"/>
          <w:szCs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868"/>
        <w:gridCol w:w="1620"/>
      </w:tblGrid>
      <w:tr w:rsidR="00D373C6" w:rsidRPr="008B414F" w:rsidTr="00E04A47">
        <w:trPr>
          <w:trHeight w:val="206"/>
        </w:trPr>
        <w:tc>
          <w:tcPr>
            <w:tcW w:w="856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373C6" w:rsidRPr="00E04A47" w:rsidRDefault="00D373C6" w:rsidP="00375DE9">
            <w:pPr>
              <w:rPr>
                <w:b/>
                <w:sz w:val="12"/>
                <w:szCs w:val="12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2) Composizione del risultato di amministrazione presunto al 31/12 </w:t>
            </w:r>
            <w:r w:rsidRPr="00E04A47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E04A47">
            <w:pPr>
              <w:tabs>
                <w:tab w:val="center" w:pos="3366"/>
              </w:tabs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>Parte accantonata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right w:val="nil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-</w:t>
            </w:r>
          </w:p>
        </w:tc>
        <w:tc>
          <w:tcPr>
            <w:tcW w:w="5868" w:type="dxa"/>
            <w:tcBorders>
              <w:left w:val="nil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>Fondo crediti di dubbia esigibilità al 31/12/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2.773.757,03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525F4D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right w:val="nil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-</w:t>
            </w:r>
          </w:p>
        </w:tc>
        <w:tc>
          <w:tcPr>
            <w:tcW w:w="5868" w:type="dxa"/>
            <w:tcBorders>
              <w:left w:val="nil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>Accantonamento residui perenti al 31/12/</w:t>
            </w:r>
            <w:r w:rsidRPr="00E04A47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E04A47">
              <w:rPr>
                <w:rFonts w:ascii="Verdana" w:hAnsi="Verdana"/>
                <w:sz w:val="11"/>
                <w:szCs w:val="11"/>
              </w:rPr>
              <w:t xml:space="preserve">. (solo per le regioni)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525F4D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right w:val="nil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-</w:t>
            </w:r>
          </w:p>
        </w:tc>
        <w:tc>
          <w:tcPr>
            <w:tcW w:w="5868" w:type="dxa"/>
            <w:tcBorders>
              <w:left w:val="nil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Fondo anticipazioni liquidità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525F4D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right w:val="nil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-</w:t>
            </w:r>
          </w:p>
        </w:tc>
        <w:tc>
          <w:tcPr>
            <w:tcW w:w="5868" w:type="dxa"/>
            <w:tcBorders>
              <w:left w:val="nil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Fondo perdite società partecipate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525F4D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right w:val="nil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-</w:t>
            </w:r>
          </w:p>
        </w:tc>
        <w:tc>
          <w:tcPr>
            <w:tcW w:w="5868" w:type="dxa"/>
            <w:tcBorders>
              <w:left w:val="nil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Fondo contenzioso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525F4D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1080" w:type="dxa"/>
            <w:tcBorders>
              <w:right w:val="nil"/>
            </w:tcBorders>
          </w:tcPr>
          <w:p w:rsidR="00D373C6" w:rsidRPr="00E04A47" w:rsidRDefault="00D373C6" w:rsidP="00E04A47">
            <w:pPr>
              <w:ind w:left="-108"/>
              <w:jc w:val="center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-</w:t>
            </w:r>
          </w:p>
        </w:tc>
        <w:tc>
          <w:tcPr>
            <w:tcW w:w="5868" w:type="dxa"/>
            <w:tcBorders>
              <w:left w:val="nil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Altri accantonamenti 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9.401,80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525F4D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</w:tcPr>
          <w:p w:rsidR="00D373C6" w:rsidRPr="00E04A47" w:rsidRDefault="00D373C6" w:rsidP="00E04A47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B) Totale parte accantonata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2.783.158,86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E04A47">
            <w:pPr>
              <w:tabs>
                <w:tab w:val="center" w:pos="3366"/>
              </w:tabs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>Parte vincolata</w:t>
            </w: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Vincoli derivanti da leggi e dai principi contabili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Vincoli derivanti da trasferimenti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85.117,13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Vincoli derivanti dalla contrazione di mutui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Vincoli formalmente attribuiti dall’ente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Altri vincoli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260693" w:rsidTr="00E04A47">
        <w:tc>
          <w:tcPr>
            <w:tcW w:w="6948" w:type="dxa"/>
            <w:gridSpan w:val="2"/>
          </w:tcPr>
          <w:p w:rsidR="00D373C6" w:rsidRPr="00E04A47" w:rsidRDefault="00D373C6" w:rsidP="00E04A47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C) Totale parte vincolata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260693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 w:rsidRPr="00260693">
              <w:rPr>
                <w:b/>
                <w:noProof/>
                <w:sz w:val="12"/>
                <w:szCs w:val="12"/>
              </w:rPr>
              <w:t>85.117,13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AC2918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</w:tcPr>
          <w:p w:rsidR="00D373C6" w:rsidRPr="00E04A47" w:rsidRDefault="00D373C6" w:rsidP="00E04A47">
            <w:pPr>
              <w:tabs>
                <w:tab w:val="center" w:pos="3366"/>
              </w:tabs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>Parte destinata agli investimenti</w:t>
            </w: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</w:tcPr>
          <w:p w:rsidR="00D373C6" w:rsidRPr="00E04A47" w:rsidRDefault="00D373C6" w:rsidP="00E04A47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D) Totale </w:t>
            </w:r>
            <w:bookmarkStart w:id="0" w:name="Testo142"/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destinata agli investimenti 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 w:rsidRPr="00E04A47">
              <w:rPr>
                <w:b/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c>
          <w:tcPr>
            <w:tcW w:w="6948" w:type="dxa"/>
            <w:gridSpan w:val="2"/>
          </w:tcPr>
          <w:p w:rsidR="00D373C6" w:rsidRPr="00E04A47" w:rsidRDefault="00D373C6" w:rsidP="00E04A47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E) Totale parte disponibile (E=A-B-C-D)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10.073,13</w:t>
            </w:r>
          </w:p>
        </w:tc>
      </w:tr>
      <w:tr w:rsidR="00D373C6" w:rsidRPr="008B414F" w:rsidTr="00E04A47">
        <w:tc>
          <w:tcPr>
            <w:tcW w:w="6948" w:type="dxa"/>
            <w:gridSpan w:val="2"/>
          </w:tcPr>
          <w:p w:rsidR="00D373C6" w:rsidRPr="00E04A47" w:rsidRDefault="00D373C6" w:rsidP="00E04A47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>F) di cui Disavanzo da debito autorizzato e non contratto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  <w:gridSpan w:val="2"/>
            <w:tcBorders>
              <w:bottom w:val="nil"/>
              <w:right w:val="nil"/>
            </w:tcBorders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D373C6" w:rsidRPr="00E04A47" w:rsidRDefault="00D373C6" w:rsidP="006A638A">
            <w:pPr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>Se E è negativo, tale importo è iscritto tra le spese del bilancio di previsione come disavanzo da ripianare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D373C6" w:rsidRDefault="00D373C6" w:rsidP="007B04C3">
      <w:pPr>
        <w:rPr>
          <w:sz w:val="12"/>
          <w:szCs w:val="12"/>
        </w:rPr>
      </w:pPr>
    </w:p>
    <w:p w:rsidR="00D373C6" w:rsidRDefault="00D373C6" w:rsidP="007B04C3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620"/>
      </w:tblGrid>
      <w:tr w:rsidR="00D373C6" w:rsidRPr="008B414F" w:rsidTr="00E04A47">
        <w:trPr>
          <w:trHeight w:val="206"/>
        </w:trPr>
        <w:tc>
          <w:tcPr>
            <w:tcW w:w="8568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D373C6" w:rsidRPr="00E04A47" w:rsidRDefault="00D373C6" w:rsidP="00E04A47">
            <w:pPr>
              <w:tabs>
                <w:tab w:val="center" w:pos="3366"/>
              </w:tabs>
              <w:rPr>
                <w:b/>
                <w:sz w:val="12"/>
                <w:szCs w:val="12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3) Utilizzo quote vincolate del risultato di amministrazione presunto al 31/12 </w:t>
            </w:r>
            <w:r w:rsidRPr="00E04A47">
              <w:rPr>
                <w:rFonts w:ascii="Verdana" w:hAnsi="Verdana"/>
                <w:b/>
                <w:noProof/>
                <w:sz w:val="11"/>
                <w:szCs w:val="11"/>
              </w:rPr>
              <w:t>2020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</w:tcPr>
          <w:p w:rsidR="00D373C6" w:rsidRPr="00E04A47" w:rsidRDefault="00D373C6" w:rsidP="00E04A47">
            <w:pPr>
              <w:tabs>
                <w:tab w:val="center" w:pos="3366"/>
              </w:tabs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>Utilizzo quota vincolata</w:t>
            </w: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Utilizzo vincoli derivanti da leggi e dai principi contabili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Utilizzo vincoli derivanti da trasferimenti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Utilizzo vincoli derivanti dalla contrazione di mutui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Utilizzo vincoli formalmente attribuiti dall’ente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rPr>
          <w:trHeight w:val="227"/>
        </w:trPr>
        <w:tc>
          <w:tcPr>
            <w:tcW w:w="6948" w:type="dxa"/>
          </w:tcPr>
          <w:p w:rsidR="00D373C6" w:rsidRPr="00E04A47" w:rsidRDefault="00D373C6" w:rsidP="00BD0D44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620" w:type="dxa"/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D373C6" w:rsidRPr="008B414F" w:rsidTr="00E04A47">
        <w:tc>
          <w:tcPr>
            <w:tcW w:w="6948" w:type="dxa"/>
            <w:tcBorders>
              <w:right w:val="single" w:sz="2" w:space="0" w:color="auto"/>
            </w:tcBorders>
          </w:tcPr>
          <w:p w:rsidR="00D373C6" w:rsidRPr="00E04A47" w:rsidRDefault="00D373C6" w:rsidP="00375DE9">
            <w:pPr>
              <w:rPr>
                <w:rFonts w:ascii="Verdana" w:hAnsi="Verdana"/>
                <w:sz w:val="11"/>
                <w:szCs w:val="11"/>
              </w:rPr>
            </w:pPr>
            <w:r w:rsidRPr="00E04A47">
              <w:rPr>
                <w:rFonts w:ascii="Verdana" w:hAnsi="Verdana"/>
                <w:sz w:val="11"/>
                <w:szCs w:val="11"/>
              </w:rPr>
              <w:t xml:space="preserve">Utilizzo altri vincoli 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sz w:val="12"/>
                <w:szCs w:val="12"/>
              </w:rPr>
            </w:pPr>
            <w:r w:rsidRPr="00E04A47">
              <w:rPr>
                <w:noProof/>
                <w:sz w:val="12"/>
                <w:szCs w:val="12"/>
              </w:rPr>
              <w:t>0,00</w:t>
            </w:r>
          </w:p>
        </w:tc>
      </w:tr>
      <w:tr w:rsidR="00D373C6" w:rsidRPr="008B414F" w:rsidTr="00E04A47">
        <w:tc>
          <w:tcPr>
            <w:tcW w:w="6948" w:type="dxa"/>
            <w:tcBorders>
              <w:bottom w:val="double" w:sz="6" w:space="0" w:color="auto"/>
              <w:right w:val="single" w:sz="2" w:space="0" w:color="auto"/>
            </w:tcBorders>
          </w:tcPr>
          <w:p w:rsidR="00D373C6" w:rsidRPr="00E04A47" w:rsidRDefault="00D373C6" w:rsidP="00E04A47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E04A47">
              <w:rPr>
                <w:rFonts w:ascii="Verdana" w:hAnsi="Verdana"/>
                <w:b/>
                <w:sz w:val="11"/>
                <w:szCs w:val="11"/>
              </w:rPr>
              <w:t xml:space="preserve">Totale utilizzo avanzo di amministrazione presunto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</w:tcPr>
          <w:p w:rsidR="00D373C6" w:rsidRPr="00E04A47" w:rsidRDefault="00D373C6" w:rsidP="00E04A47">
            <w:pPr>
              <w:ind w:left="-108"/>
              <w:jc w:val="right"/>
              <w:rPr>
                <w:b/>
                <w:sz w:val="12"/>
                <w:szCs w:val="12"/>
              </w:rPr>
            </w:pPr>
            <w:r w:rsidRPr="00E04A47">
              <w:rPr>
                <w:b/>
                <w:noProof/>
                <w:sz w:val="12"/>
                <w:szCs w:val="12"/>
              </w:rPr>
              <w:t>0,00</w:t>
            </w:r>
          </w:p>
        </w:tc>
      </w:tr>
    </w:tbl>
    <w:p w:rsidR="00D373C6" w:rsidRDefault="00D373C6"/>
    <w:sectPr w:rsidR="00D373C6" w:rsidSect="004A1C3F">
      <w:headerReference w:type="default" r:id="rId6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C6" w:rsidRDefault="00D373C6">
      <w:r>
        <w:separator/>
      </w:r>
    </w:p>
  </w:endnote>
  <w:endnote w:type="continuationSeparator" w:id="0">
    <w:p w:rsidR="00D373C6" w:rsidRDefault="00D3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C6" w:rsidRDefault="00D373C6">
      <w:r>
        <w:separator/>
      </w:r>
    </w:p>
  </w:footnote>
  <w:footnote w:type="continuationSeparator" w:id="0">
    <w:p w:rsidR="00D373C6" w:rsidRDefault="00D3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8568"/>
    </w:tblGrid>
    <w:tr w:rsidR="00D373C6" w:rsidRPr="009D0940" w:rsidTr="00E04A47">
      <w:tc>
        <w:tcPr>
          <w:tcW w:w="8568" w:type="dxa"/>
        </w:tcPr>
        <w:p w:rsidR="00D373C6" w:rsidRPr="00E04A47" w:rsidRDefault="00D373C6" w:rsidP="00E04A47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bookmarkStart w:id="1" w:name="_GoBack"/>
          <w:bookmarkEnd w:id="1"/>
        </w:p>
        <w:p w:rsidR="00D373C6" w:rsidRPr="00E04A47" w:rsidRDefault="00D373C6" w:rsidP="00E04A47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r w:rsidRPr="00E04A47">
            <w:rPr>
              <w:rFonts w:ascii="Verdana" w:hAnsi="Verdana"/>
              <w:b/>
              <w:noProof/>
              <w:sz w:val="16"/>
              <w:szCs w:val="16"/>
            </w:rPr>
            <w:t>TABELLA DIMOSTRATIVA DEL RISULTATO DI AMMINISTRAZIONE PRESUNTO</w:t>
          </w:r>
        </w:p>
        <w:p w:rsidR="00D373C6" w:rsidRPr="00E04A47" w:rsidRDefault="00D373C6" w:rsidP="00E04A47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  <w:tr w:rsidR="00D373C6" w:rsidRPr="00CF0848" w:rsidTr="00E04A47">
      <w:tc>
        <w:tcPr>
          <w:tcW w:w="8568" w:type="dxa"/>
        </w:tcPr>
        <w:p w:rsidR="00D373C6" w:rsidRPr="00E04A47" w:rsidRDefault="00D373C6" w:rsidP="00E04A47">
          <w:pPr>
            <w:ind w:left="-108"/>
            <w:jc w:val="right"/>
            <w:rPr>
              <w:rFonts w:ascii="Verdana" w:hAnsi="Verdana"/>
              <w:sz w:val="12"/>
              <w:szCs w:val="12"/>
            </w:rPr>
          </w:pPr>
          <w:r w:rsidRPr="00E04A47">
            <w:rPr>
              <w:rFonts w:ascii="Verdana" w:hAnsi="Verdana"/>
              <w:sz w:val="12"/>
              <w:szCs w:val="12"/>
            </w:rPr>
            <w:t xml:space="preserve">Pag. </w:t>
          </w:r>
          <w:r w:rsidRPr="00E04A47">
            <w:rPr>
              <w:rFonts w:ascii="Verdana" w:hAnsi="Verdana"/>
              <w:sz w:val="12"/>
              <w:szCs w:val="12"/>
            </w:rPr>
            <w:fldChar w:fldCharType="begin"/>
          </w:r>
          <w:r w:rsidRPr="00E04A47">
            <w:rPr>
              <w:rFonts w:ascii="Verdana" w:hAnsi="Verdana"/>
              <w:sz w:val="12"/>
              <w:szCs w:val="12"/>
            </w:rPr>
            <w:instrText xml:space="preserve"> PAGE  \* Arabic  \* MERGEFORMAT </w:instrText>
          </w:r>
          <w:r w:rsidRPr="00E04A47">
            <w:rPr>
              <w:rFonts w:ascii="Verdana" w:hAnsi="Verdana"/>
              <w:sz w:val="12"/>
              <w:szCs w:val="12"/>
            </w:rPr>
            <w:fldChar w:fldCharType="separate"/>
          </w:r>
          <w:r>
            <w:rPr>
              <w:rFonts w:ascii="Verdana" w:hAnsi="Verdana"/>
              <w:noProof/>
              <w:sz w:val="12"/>
              <w:szCs w:val="12"/>
            </w:rPr>
            <w:t>1</w:t>
          </w:r>
          <w:r w:rsidRPr="00E04A47">
            <w:rPr>
              <w:rFonts w:ascii="Verdana" w:hAnsi="Verdana"/>
              <w:sz w:val="12"/>
              <w:szCs w:val="12"/>
            </w:rPr>
            <w:fldChar w:fldCharType="end"/>
          </w:r>
        </w:p>
      </w:tc>
    </w:tr>
  </w:tbl>
  <w:p w:rsidR="00D373C6" w:rsidRPr="008B414F" w:rsidRDefault="00D373C6" w:rsidP="007B04C3">
    <w:pPr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C3F"/>
    <w:rsid w:val="00055270"/>
    <w:rsid w:val="001730D8"/>
    <w:rsid w:val="001A0D74"/>
    <w:rsid w:val="00260693"/>
    <w:rsid w:val="00342B3E"/>
    <w:rsid w:val="00353EDF"/>
    <w:rsid w:val="0035766B"/>
    <w:rsid w:val="00360205"/>
    <w:rsid w:val="00375DE9"/>
    <w:rsid w:val="00440BA0"/>
    <w:rsid w:val="004749DD"/>
    <w:rsid w:val="004A1C3F"/>
    <w:rsid w:val="00525F4D"/>
    <w:rsid w:val="005630B6"/>
    <w:rsid w:val="00643732"/>
    <w:rsid w:val="006A638A"/>
    <w:rsid w:val="006A7D6D"/>
    <w:rsid w:val="006D4947"/>
    <w:rsid w:val="006F4B04"/>
    <w:rsid w:val="00706F5A"/>
    <w:rsid w:val="00782F98"/>
    <w:rsid w:val="007B04C3"/>
    <w:rsid w:val="007F767A"/>
    <w:rsid w:val="00852427"/>
    <w:rsid w:val="008B0AE1"/>
    <w:rsid w:val="008B414F"/>
    <w:rsid w:val="00954100"/>
    <w:rsid w:val="009D0940"/>
    <w:rsid w:val="00AB4CA9"/>
    <w:rsid w:val="00AC2918"/>
    <w:rsid w:val="00AC4826"/>
    <w:rsid w:val="00B734F0"/>
    <w:rsid w:val="00BD0D44"/>
    <w:rsid w:val="00BD7A9D"/>
    <w:rsid w:val="00CC2C0E"/>
    <w:rsid w:val="00CF0848"/>
    <w:rsid w:val="00D0721D"/>
    <w:rsid w:val="00D373C6"/>
    <w:rsid w:val="00D63375"/>
    <w:rsid w:val="00DC6D61"/>
    <w:rsid w:val="00E04A47"/>
    <w:rsid w:val="00E24F9F"/>
    <w:rsid w:val="00E34EA4"/>
    <w:rsid w:val="00E86655"/>
    <w:rsid w:val="00FC6682"/>
    <w:rsid w:val="00FD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766B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66B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63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39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76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3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76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39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5766B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9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2</TotalTime>
  <Pages>2</Pages>
  <Words>427</Words>
  <Characters>2438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Determinazione del risultato di amministrazione presunto al 31/12 2020</dc:title>
  <dc:subject/>
  <dc:creator>laghi</dc:creator>
  <cp:keywords/>
  <dc:description/>
  <cp:lastModifiedBy>gildai</cp:lastModifiedBy>
  <cp:revision>3</cp:revision>
  <dcterms:created xsi:type="dcterms:W3CDTF">2021-03-03T12:36:00Z</dcterms:created>
  <dcterms:modified xsi:type="dcterms:W3CDTF">2021-03-03T12:36:00Z</dcterms:modified>
</cp:coreProperties>
</file>