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2"/>
        <w:gridCol w:w="1077"/>
        <w:gridCol w:w="1078"/>
        <w:gridCol w:w="5291"/>
        <w:gridCol w:w="1078"/>
        <w:gridCol w:w="1078"/>
      </w:tblGrid>
      <w:tr w:rsidR="00BC2A3E" w:rsidRPr="00A60CB0" w:rsidTr="00311B09">
        <w:trPr>
          <w:trHeight w:val="507"/>
        </w:trPr>
        <w:tc>
          <w:tcPr>
            <w:tcW w:w="5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2A3E" w:rsidRPr="00311B09" w:rsidRDefault="00BC2A3E" w:rsidP="00311B0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311B09">
              <w:rPr>
                <w:rFonts w:ascii="Verdana" w:hAnsi="Verdana"/>
                <w:b/>
                <w:sz w:val="12"/>
                <w:szCs w:val="12"/>
              </w:rPr>
              <w:t>ENTRATE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BC2A3E" w:rsidRPr="00311B09" w:rsidRDefault="00BC2A3E" w:rsidP="00311B09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311B09">
              <w:rPr>
                <w:rFonts w:ascii="Verdana" w:hAnsi="Verdana"/>
                <w:b/>
                <w:sz w:val="12"/>
                <w:szCs w:val="12"/>
              </w:rPr>
              <w:t>ACCERTAMENTI</w:t>
            </w: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:rsidR="00BC2A3E" w:rsidRPr="00311B09" w:rsidRDefault="00BC2A3E" w:rsidP="00311B09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311B09">
              <w:rPr>
                <w:rFonts w:ascii="Verdana" w:hAnsi="Verdana"/>
                <w:b/>
                <w:sz w:val="12"/>
                <w:szCs w:val="12"/>
              </w:rPr>
              <w:t>INCASSI</w:t>
            </w:r>
          </w:p>
        </w:tc>
        <w:tc>
          <w:tcPr>
            <w:tcW w:w="5291" w:type="dxa"/>
            <w:tcBorders>
              <w:top w:val="double" w:sz="4" w:space="0" w:color="auto"/>
            </w:tcBorders>
            <w:vAlign w:val="center"/>
          </w:tcPr>
          <w:p w:rsidR="00BC2A3E" w:rsidRPr="00311B09" w:rsidRDefault="00BC2A3E" w:rsidP="00311B09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311B09">
              <w:rPr>
                <w:rFonts w:ascii="Verdana" w:hAnsi="Verdana"/>
                <w:b/>
                <w:sz w:val="12"/>
                <w:szCs w:val="12"/>
              </w:rPr>
              <w:t>SPESE</w:t>
            </w: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:rsidR="00BC2A3E" w:rsidRPr="00311B09" w:rsidRDefault="00BC2A3E" w:rsidP="00311B09">
            <w:pPr>
              <w:ind w:left="-108" w:righ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311B09">
              <w:rPr>
                <w:rFonts w:ascii="Verdana" w:hAnsi="Verdana"/>
                <w:b/>
                <w:sz w:val="12"/>
                <w:szCs w:val="12"/>
              </w:rPr>
              <w:t>IMPEGNI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2A3E" w:rsidRPr="00311B09" w:rsidRDefault="00BC2A3E" w:rsidP="00311B09">
            <w:pPr>
              <w:ind w:left="-108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311B09">
              <w:rPr>
                <w:rFonts w:ascii="Verdana" w:hAnsi="Verdana"/>
                <w:b/>
                <w:sz w:val="12"/>
                <w:szCs w:val="12"/>
              </w:rPr>
              <w:t>PAGAMENTI</w:t>
            </w:r>
          </w:p>
        </w:tc>
      </w:tr>
      <w:tr w:rsidR="00BC2A3E" w:rsidRPr="008B414F" w:rsidTr="00311B09">
        <w:tc>
          <w:tcPr>
            <w:tcW w:w="5652" w:type="dxa"/>
            <w:tcBorders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Fondo di cassa all’inizio dell’esercizio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965.810,84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227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Utilizzo avanzo di amministrazione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Disavanzo di amministrazione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209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di cui Utilizzo Fondo anticipazioni di liquidità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Fondo pluriennale vincolato di parte corrente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69.798,15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Disavanzo derivante da debito autorizzato e non contratto ripianato con accensione di prestiti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151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Fondo pluriennale vincolato in c/capitale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509.659,73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194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di cui Fondo pluriennale vincolato in c/capitale finanziato da debito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DD697B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166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DD697B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Fondo pluriennale vincolato per incremento di attività finanziarie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DD697B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206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612C7C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612C7C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Titolo 1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 – Entrate correnti di natura tributaria, contributiva e perequativa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5.228.267,35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4.404.775,12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Titolo 1 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– Spese correnti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5.563.233,29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5.408.257,42</w:t>
            </w:r>
          </w:p>
        </w:tc>
      </w:tr>
      <w:tr w:rsidR="00BC2A3E" w:rsidRPr="008B414F" w:rsidTr="00311B09">
        <w:trPr>
          <w:trHeight w:val="227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Fondo pluriennale vincolato di parte corrente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15.235,44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i/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Titolo 2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 – Trasferimenti correnti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447.909,45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460.999,86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227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565B22">
            <w:pPr>
              <w:rPr>
                <w:rFonts w:ascii="Verdana" w:hAnsi="Verdana"/>
                <w:b/>
                <w:sz w:val="11"/>
                <w:szCs w:val="11"/>
              </w:rPr>
            </w:pPr>
          </w:p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Titolo 2 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– Spese in conto capitale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1.051.542,89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833.513,47</w:t>
            </w: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Titolo 3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 – Entrate extratributarie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808.086,07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689.757,17</w:t>
            </w:r>
          </w:p>
        </w:tc>
        <w:tc>
          <w:tcPr>
            <w:tcW w:w="5291" w:type="dxa"/>
            <w:tcBorders>
              <w:top w:val="nil"/>
              <w:bottom w:val="nil"/>
            </w:tcBorders>
            <w:vAlign w:val="center"/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Fondo pluriennale vincolato in c/capitale 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424.825,87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208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  <w:vAlign w:val="center"/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di cui Fondo pluriennale vincolato in c/capitale finanziato da debito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Titolo 4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 – Entrate in conto capitale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965.965,32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782.403,60</w:t>
            </w:r>
          </w:p>
        </w:tc>
        <w:tc>
          <w:tcPr>
            <w:tcW w:w="5291" w:type="dxa"/>
            <w:tcBorders>
              <w:top w:val="nil"/>
              <w:bottom w:val="nil"/>
            </w:tcBorders>
            <w:vAlign w:val="center"/>
          </w:tcPr>
          <w:p w:rsidR="00BC2A3E" w:rsidRPr="00311B09" w:rsidRDefault="00BC2A3E" w:rsidP="00612C7C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152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Titolo 3 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– Spese per incremento di attività finanziarie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</w:tr>
      <w:tr w:rsidR="00BC2A3E" w:rsidRPr="008B414F" w:rsidTr="00311B09">
        <w:trPr>
          <w:trHeight w:val="152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565B22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>Fondo pluriennale vincolato per incremento di attività finanziarie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Titolo 5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 – Entrate da riduzione di attività finanziarie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227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612C7C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612C7C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Totale entrate finali </w:t>
            </w:r>
          </w:p>
        </w:tc>
        <w:tc>
          <w:tcPr>
            <w:tcW w:w="1077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7.450.228,19</w:t>
            </w:r>
          </w:p>
        </w:tc>
        <w:tc>
          <w:tcPr>
            <w:tcW w:w="1078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6.337.935,75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Totale spese finali </w:t>
            </w:r>
          </w:p>
        </w:tc>
        <w:tc>
          <w:tcPr>
            <w:tcW w:w="1078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7.054.837,49</w:t>
            </w:r>
          </w:p>
        </w:tc>
        <w:tc>
          <w:tcPr>
            <w:tcW w:w="1078" w:type="dxa"/>
            <w:tcBorders>
              <w:top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6.241.770,89</w:t>
            </w:r>
          </w:p>
        </w:tc>
      </w:tr>
      <w:tr w:rsidR="00BC2A3E" w:rsidRPr="008B414F" w:rsidTr="00311B09">
        <w:trPr>
          <w:trHeight w:val="227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Titolo 6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 – Accensione di prestiti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Titolo 4 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– Rimborso di prestiti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7.115,67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7.115,67</w:t>
            </w:r>
          </w:p>
        </w:tc>
      </w:tr>
      <w:tr w:rsidR="00BC2A3E" w:rsidRPr="008B414F" w:rsidTr="00311B09">
        <w:trPr>
          <w:trHeight w:val="227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Fondo anticipazioni di liquidità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Titolo 7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 – Anticipazioni da istituto tesoriere/cassiere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Titolo 5 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– Chiusura anticipazioni da istituto tesoriere/cassiere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</w:tr>
      <w:tr w:rsidR="00BC2A3E" w:rsidRPr="008B414F" w:rsidTr="00311B09">
        <w:trPr>
          <w:trHeight w:val="227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Titolo 9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 – Entrate per conto di terzi e partite di giro 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1.327.952,06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1.337.397,33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Titolo 7 </w:t>
            </w:r>
            <w:r w:rsidRPr="00311B09">
              <w:rPr>
                <w:rFonts w:ascii="Verdana" w:hAnsi="Verdana"/>
                <w:sz w:val="11"/>
                <w:szCs w:val="11"/>
              </w:rPr>
              <w:t xml:space="preserve">– Spese per conto terzi e partite di giro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1.327.952,06</w:t>
            </w: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1.341.902,42</w:t>
            </w:r>
          </w:p>
        </w:tc>
      </w:tr>
      <w:tr w:rsidR="00BC2A3E" w:rsidRPr="008B414F" w:rsidTr="00311B09">
        <w:trPr>
          <w:trHeight w:val="227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Totale entrate dell’esercizio </w:t>
            </w:r>
          </w:p>
        </w:tc>
        <w:tc>
          <w:tcPr>
            <w:tcW w:w="1077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8.778.180,25</w:t>
            </w:r>
          </w:p>
        </w:tc>
        <w:tc>
          <w:tcPr>
            <w:tcW w:w="1078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7.675.333,08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Totale spese dell’esercizio </w:t>
            </w:r>
          </w:p>
        </w:tc>
        <w:tc>
          <w:tcPr>
            <w:tcW w:w="1078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8.389.905,22</w:t>
            </w:r>
          </w:p>
        </w:tc>
        <w:tc>
          <w:tcPr>
            <w:tcW w:w="1078" w:type="dxa"/>
            <w:tcBorders>
              <w:top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7.590.788,98</w:t>
            </w:r>
          </w:p>
        </w:tc>
      </w:tr>
      <w:tr w:rsidR="00BC2A3E" w:rsidRPr="008B414F" w:rsidTr="00311B09">
        <w:trPr>
          <w:trHeight w:val="158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TOTALE COMPLESSIVO ENTRATE </w:t>
            </w:r>
          </w:p>
        </w:tc>
        <w:tc>
          <w:tcPr>
            <w:tcW w:w="1077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9.357.638,13</w:t>
            </w:r>
          </w:p>
        </w:tc>
        <w:tc>
          <w:tcPr>
            <w:tcW w:w="1078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8.641.143,92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TOTALE COMPLESSIVO SPESE </w:t>
            </w:r>
          </w:p>
        </w:tc>
        <w:tc>
          <w:tcPr>
            <w:tcW w:w="1078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8.389.905,22</w:t>
            </w:r>
          </w:p>
        </w:tc>
        <w:tc>
          <w:tcPr>
            <w:tcW w:w="1078" w:type="dxa"/>
            <w:tcBorders>
              <w:top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7.590.788,98</w:t>
            </w:r>
          </w:p>
        </w:tc>
      </w:tr>
      <w:tr w:rsidR="00BC2A3E" w:rsidRPr="008B414F" w:rsidTr="00311B09">
        <w:trPr>
          <w:trHeight w:val="141"/>
        </w:trPr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c>
          <w:tcPr>
            <w:tcW w:w="5652" w:type="dxa"/>
            <w:tcBorders>
              <w:top w:val="nil"/>
              <w:left w:val="double" w:sz="4" w:space="0" w:color="auto"/>
              <w:bottom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DISAVANZO DELL’ESERCIZIO </w:t>
            </w:r>
          </w:p>
        </w:tc>
        <w:tc>
          <w:tcPr>
            <w:tcW w:w="1077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AVANZO DI COMPETENZA/FONDO DI CASSA </w:t>
            </w:r>
          </w:p>
        </w:tc>
        <w:tc>
          <w:tcPr>
            <w:tcW w:w="1078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967.732,91</w:t>
            </w:r>
          </w:p>
        </w:tc>
        <w:tc>
          <w:tcPr>
            <w:tcW w:w="1078" w:type="dxa"/>
            <w:tcBorders>
              <w:top w:val="nil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1.050.354,94</w:t>
            </w:r>
          </w:p>
        </w:tc>
      </w:tr>
      <w:tr w:rsidR="00BC2A3E" w:rsidRPr="008B414F" w:rsidTr="00311B09">
        <w:trPr>
          <w:trHeight w:val="227"/>
        </w:trPr>
        <w:tc>
          <w:tcPr>
            <w:tcW w:w="565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>di cui Disavanzo da debito autorizzato e non contratto formatosi nell'esercizio</w:t>
            </w:r>
          </w:p>
        </w:tc>
        <w:tc>
          <w:tcPr>
            <w:tcW w:w="1077" w:type="dxa"/>
            <w:tcBorders>
              <w:top w:val="nil"/>
              <w:bottom w:val="double" w:sz="4" w:space="0" w:color="auto"/>
            </w:tcBorders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sz w:val="12"/>
                <w:szCs w:val="12"/>
              </w:rPr>
              <w:t>0,00</w:t>
            </w:r>
          </w:p>
        </w:tc>
        <w:tc>
          <w:tcPr>
            <w:tcW w:w="1078" w:type="dxa"/>
            <w:tcBorders>
              <w:top w:val="nil"/>
              <w:bottom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double" w:sz="4" w:space="0" w:color="auto"/>
            </w:tcBorders>
          </w:tcPr>
          <w:p w:rsidR="00BC2A3E" w:rsidRPr="00311B09" w:rsidRDefault="00BC2A3E" w:rsidP="007B04C3">
            <w:pPr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1078" w:type="dxa"/>
            <w:tcBorders>
              <w:top w:val="nil"/>
              <w:bottom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415"/>
        </w:trPr>
        <w:tc>
          <w:tcPr>
            <w:tcW w:w="5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TOTALE A PAREGGIO 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9.357.638,13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8.641.143,92</w:t>
            </w:r>
          </w:p>
        </w:tc>
        <w:tc>
          <w:tcPr>
            <w:tcW w:w="5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TOTALE A PAREGGIO 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9.357.638,13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8.641.143,92</w:t>
            </w:r>
          </w:p>
        </w:tc>
      </w:tr>
      <w:tr w:rsidR="00BC2A3E" w:rsidRPr="008B414F" w:rsidTr="00311B09">
        <w:trPr>
          <w:trHeight w:val="247"/>
        </w:trPr>
        <w:tc>
          <w:tcPr>
            <w:tcW w:w="56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bottom w:val="nil"/>
            </w:tcBorders>
            <w:vAlign w:val="center"/>
          </w:tcPr>
          <w:p w:rsidR="00BC2A3E" w:rsidRPr="00311B09" w:rsidRDefault="00BC2A3E" w:rsidP="007935CD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GESTIONE DEL BILANCIO</w:t>
            </w:r>
          </w:p>
        </w:tc>
        <w:tc>
          <w:tcPr>
            <w:tcW w:w="1078" w:type="dxa"/>
            <w:tcBorders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double" w:sz="4" w:space="0" w:color="auto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166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a) Avanzo di competenza (+) /Disavanzo di competenza (-)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967.732,91</w:t>
            </w:r>
          </w:p>
        </w:tc>
        <w:tc>
          <w:tcPr>
            <w:tcW w:w="1078" w:type="dxa"/>
            <w:tcBorders>
              <w:top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166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b) Risorse accantonate  stanziate nel bilancio dell'esercizio N  (+)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678.011,96</w:t>
            </w:r>
          </w:p>
        </w:tc>
        <w:tc>
          <w:tcPr>
            <w:tcW w:w="1078" w:type="dxa"/>
            <w:tcBorders>
              <w:top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207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c) Risorse vincolate nel bilancio (+) </w:t>
            </w:r>
          </w:p>
        </w:tc>
        <w:tc>
          <w:tcPr>
            <w:tcW w:w="1078" w:type="dxa"/>
            <w:tcBorders>
              <w:top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236.162,89</w:t>
            </w:r>
          </w:p>
        </w:tc>
        <w:tc>
          <w:tcPr>
            <w:tcW w:w="1078" w:type="dxa"/>
            <w:tcBorders>
              <w:top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170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</w:tcPr>
          <w:p w:rsidR="00BC2A3E" w:rsidRPr="00311B09" w:rsidRDefault="00BC2A3E" w:rsidP="007D317F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d) Equilibrio di bilancio (d=a-b-c) </w:t>
            </w:r>
          </w:p>
        </w:tc>
        <w:tc>
          <w:tcPr>
            <w:tcW w:w="1078" w:type="dxa"/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53.558,06</w:t>
            </w:r>
          </w:p>
        </w:tc>
        <w:tc>
          <w:tcPr>
            <w:tcW w:w="1078" w:type="dxa"/>
            <w:tcBorders>
              <w:top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50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left w:val="nil"/>
              <w:right w:val="nil"/>
            </w:tcBorders>
          </w:tcPr>
          <w:p w:rsidR="00BC2A3E" w:rsidRPr="00311B09" w:rsidRDefault="00BC2A3E" w:rsidP="005F575F">
            <w:pPr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247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bottom w:val="nil"/>
            </w:tcBorders>
            <w:vAlign w:val="center"/>
          </w:tcPr>
          <w:p w:rsidR="00BC2A3E" w:rsidRPr="00311B09" w:rsidRDefault="00BC2A3E" w:rsidP="005F575F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>GESTIONE DEGLI ACCANTONAMENTI IN SEDE DI RENDICONTO</w:t>
            </w:r>
          </w:p>
        </w:tc>
        <w:tc>
          <w:tcPr>
            <w:tcW w:w="1078" w:type="dxa"/>
            <w:tcBorders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166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  <w:bottom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d)Equilibrio di bilancio (+)/(-)  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53.558,06</w:t>
            </w:r>
          </w:p>
        </w:tc>
        <w:tc>
          <w:tcPr>
            <w:tcW w:w="1078" w:type="dxa"/>
            <w:tcBorders>
              <w:top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206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  <w:tcBorders>
              <w:top w:val="nil"/>
            </w:tcBorders>
          </w:tcPr>
          <w:p w:rsidR="00BC2A3E" w:rsidRPr="00311B09" w:rsidRDefault="00BC2A3E" w:rsidP="007D317F">
            <w:pPr>
              <w:rPr>
                <w:rFonts w:ascii="Verdana" w:hAnsi="Verdana"/>
                <w:sz w:val="11"/>
                <w:szCs w:val="11"/>
              </w:rPr>
            </w:pPr>
            <w:r w:rsidRPr="00311B09">
              <w:rPr>
                <w:rFonts w:ascii="Verdana" w:hAnsi="Verdana"/>
                <w:sz w:val="11"/>
                <w:szCs w:val="11"/>
              </w:rPr>
              <w:t xml:space="preserve">e)Variazione accantonamenti effettuata in sede di rendiconto (+)/(-) 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257.303,46</w:t>
            </w:r>
          </w:p>
        </w:tc>
        <w:tc>
          <w:tcPr>
            <w:tcW w:w="1078" w:type="dxa"/>
            <w:tcBorders>
              <w:top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  <w:tr w:rsidR="00BC2A3E" w:rsidRPr="008B414F" w:rsidTr="00311B09">
        <w:trPr>
          <w:trHeight w:val="183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jc w:val="right"/>
              <w:rPr>
                <w:rFonts w:ascii="Verdana" w:hAnsi="Verdana"/>
                <w:b/>
                <w:sz w:val="11"/>
                <w:szCs w:val="1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  <w:tc>
          <w:tcPr>
            <w:tcW w:w="5291" w:type="dxa"/>
          </w:tcPr>
          <w:p w:rsidR="00BC2A3E" w:rsidRPr="00311B09" w:rsidRDefault="00BC2A3E" w:rsidP="007D317F">
            <w:pPr>
              <w:rPr>
                <w:rFonts w:ascii="Verdana" w:hAnsi="Verdana"/>
                <w:b/>
                <w:sz w:val="11"/>
                <w:szCs w:val="11"/>
              </w:rPr>
            </w:pPr>
            <w:r w:rsidRPr="00311B09">
              <w:rPr>
                <w:rFonts w:ascii="Verdana" w:hAnsi="Verdana"/>
                <w:b/>
                <w:sz w:val="11"/>
                <w:szCs w:val="11"/>
              </w:rPr>
              <w:t xml:space="preserve">f) Equilibrio complessivo (f=d-e) </w:t>
            </w:r>
          </w:p>
        </w:tc>
        <w:tc>
          <w:tcPr>
            <w:tcW w:w="1078" w:type="dxa"/>
            <w:vAlign w:val="center"/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  <w:r w:rsidRPr="00311B09">
              <w:rPr>
                <w:noProof/>
                <w:sz w:val="12"/>
                <w:szCs w:val="12"/>
              </w:rPr>
              <w:t>-203.745,40</w:t>
            </w:r>
          </w:p>
        </w:tc>
        <w:tc>
          <w:tcPr>
            <w:tcW w:w="1078" w:type="dxa"/>
            <w:tcBorders>
              <w:top w:val="nil"/>
              <w:bottom w:val="nil"/>
              <w:right w:val="nil"/>
            </w:tcBorders>
          </w:tcPr>
          <w:p w:rsidR="00BC2A3E" w:rsidRPr="00311B09" w:rsidRDefault="00BC2A3E" w:rsidP="00311B09">
            <w:pPr>
              <w:ind w:left="-108"/>
              <w:jc w:val="right"/>
              <w:rPr>
                <w:sz w:val="12"/>
                <w:szCs w:val="12"/>
              </w:rPr>
            </w:pPr>
          </w:p>
        </w:tc>
      </w:tr>
    </w:tbl>
    <w:p w:rsidR="00BC2A3E" w:rsidRDefault="00BC2A3E"/>
    <w:sectPr w:rsidR="00BC2A3E" w:rsidSect="00FB0207">
      <w:headerReference w:type="default" r:id="rId6"/>
      <w:pgSz w:w="16838" w:h="11906" w:orient="landscape" w:code="9"/>
      <w:pgMar w:top="1134" w:right="1418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3E" w:rsidRDefault="00BC2A3E">
      <w:r>
        <w:separator/>
      </w:r>
    </w:p>
  </w:endnote>
  <w:endnote w:type="continuationSeparator" w:id="0">
    <w:p w:rsidR="00BC2A3E" w:rsidRDefault="00BC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3E" w:rsidRDefault="00BC2A3E">
      <w:r>
        <w:separator/>
      </w:r>
    </w:p>
  </w:footnote>
  <w:footnote w:type="continuationSeparator" w:id="0">
    <w:p w:rsidR="00BC2A3E" w:rsidRDefault="00BC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146"/>
    </w:tblGrid>
    <w:tr w:rsidR="00BC2A3E" w:rsidRPr="009D0940" w:rsidTr="00311B09">
      <w:trPr>
        <w:trHeight w:val="236"/>
      </w:trPr>
      <w:tc>
        <w:tcPr>
          <w:tcW w:w="15254" w:type="dxa"/>
          <w:vAlign w:val="center"/>
        </w:tcPr>
        <w:p w:rsidR="00BC2A3E" w:rsidRPr="00311B09" w:rsidRDefault="00BC2A3E" w:rsidP="00311B09">
          <w:pPr>
            <w:ind w:left="-108"/>
            <w:jc w:val="center"/>
            <w:rPr>
              <w:rFonts w:ascii="Verdana" w:hAnsi="Verdana"/>
              <w:b/>
              <w:sz w:val="16"/>
              <w:szCs w:val="16"/>
            </w:rPr>
          </w:pPr>
          <w:bookmarkStart w:id="0" w:name="_GoBack"/>
          <w:bookmarkEnd w:id="0"/>
          <w:r w:rsidRPr="00311B09">
            <w:rPr>
              <w:rFonts w:ascii="Verdana" w:hAnsi="Verdana"/>
              <w:b/>
              <w:noProof/>
              <w:sz w:val="16"/>
              <w:szCs w:val="16"/>
            </w:rPr>
            <w:t>QUADRO GENERALE RIASSUNTIVO</w:t>
          </w:r>
        </w:p>
      </w:tc>
    </w:tr>
    <w:tr w:rsidR="00BC2A3E" w:rsidRPr="00CF0848" w:rsidTr="00311B09">
      <w:tc>
        <w:tcPr>
          <w:tcW w:w="15254" w:type="dxa"/>
        </w:tcPr>
        <w:p w:rsidR="00BC2A3E" w:rsidRPr="00311B09" w:rsidRDefault="00BC2A3E" w:rsidP="00311B09">
          <w:pPr>
            <w:ind w:left="-108"/>
            <w:jc w:val="right"/>
            <w:rPr>
              <w:rFonts w:ascii="Verdana" w:hAnsi="Verdana"/>
              <w:sz w:val="12"/>
              <w:szCs w:val="12"/>
            </w:rPr>
          </w:pPr>
          <w:r w:rsidRPr="00311B09">
            <w:rPr>
              <w:rFonts w:ascii="Verdana" w:hAnsi="Verdana"/>
              <w:sz w:val="12"/>
              <w:szCs w:val="12"/>
            </w:rPr>
            <w:t xml:space="preserve">Pag. </w:t>
          </w:r>
          <w:r w:rsidRPr="00311B09">
            <w:rPr>
              <w:rFonts w:ascii="Verdana" w:hAnsi="Verdana"/>
              <w:sz w:val="12"/>
              <w:szCs w:val="12"/>
            </w:rPr>
            <w:fldChar w:fldCharType="begin"/>
          </w:r>
          <w:r w:rsidRPr="00311B09">
            <w:rPr>
              <w:rFonts w:ascii="Verdana" w:hAnsi="Verdana"/>
              <w:sz w:val="12"/>
              <w:szCs w:val="12"/>
            </w:rPr>
            <w:instrText xml:space="preserve"> PAGE  \* Arabic  \* MERGEFORMAT </w:instrText>
          </w:r>
          <w:r w:rsidRPr="00311B09">
            <w:rPr>
              <w:rFonts w:ascii="Verdana" w:hAnsi="Verdana"/>
              <w:sz w:val="12"/>
              <w:szCs w:val="12"/>
            </w:rPr>
            <w:fldChar w:fldCharType="separate"/>
          </w:r>
          <w:r>
            <w:rPr>
              <w:rFonts w:ascii="Verdana" w:hAnsi="Verdana"/>
              <w:noProof/>
              <w:sz w:val="12"/>
              <w:szCs w:val="12"/>
            </w:rPr>
            <w:t>1</w:t>
          </w:r>
          <w:r w:rsidRPr="00311B09">
            <w:rPr>
              <w:rFonts w:ascii="Verdana" w:hAnsi="Verdana"/>
              <w:sz w:val="12"/>
              <w:szCs w:val="12"/>
            </w:rPr>
            <w:fldChar w:fldCharType="end"/>
          </w:r>
        </w:p>
      </w:tc>
    </w:tr>
  </w:tbl>
  <w:p w:rsidR="00BC2A3E" w:rsidRPr="008B414F" w:rsidRDefault="00BC2A3E" w:rsidP="007B04C3">
    <w:pPr>
      <w:rPr>
        <w:sz w:val="12"/>
        <w:szCs w:val="12"/>
      </w:rPr>
    </w:pPr>
    <w:r>
      <w:rPr>
        <w:sz w:val="12"/>
        <w:szCs w:val="1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36"/>
    <w:rsid w:val="000241C6"/>
    <w:rsid w:val="00122804"/>
    <w:rsid w:val="0021410B"/>
    <w:rsid w:val="00234132"/>
    <w:rsid w:val="00311B09"/>
    <w:rsid w:val="00330683"/>
    <w:rsid w:val="003570E2"/>
    <w:rsid w:val="00390C8C"/>
    <w:rsid w:val="00435B2B"/>
    <w:rsid w:val="004749DD"/>
    <w:rsid w:val="00526D0E"/>
    <w:rsid w:val="00565B22"/>
    <w:rsid w:val="005F575F"/>
    <w:rsid w:val="00612C7C"/>
    <w:rsid w:val="0070066C"/>
    <w:rsid w:val="0076771E"/>
    <w:rsid w:val="007935CD"/>
    <w:rsid w:val="007B04C3"/>
    <w:rsid w:val="007D317F"/>
    <w:rsid w:val="007E4044"/>
    <w:rsid w:val="008139BB"/>
    <w:rsid w:val="008B414F"/>
    <w:rsid w:val="009D0940"/>
    <w:rsid w:val="009D5628"/>
    <w:rsid w:val="00A01196"/>
    <w:rsid w:val="00A35216"/>
    <w:rsid w:val="00A52D91"/>
    <w:rsid w:val="00A60CB0"/>
    <w:rsid w:val="00A75A98"/>
    <w:rsid w:val="00AC036F"/>
    <w:rsid w:val="00B72DBD"/>
    <w:rsid w:val="00BB2231"/>
    <w:rsid w:val="00BC1836"/>
    <w:rsid w:val="00BC2A3E"/>
    <w:rsid w:val="00CF0848"/>
    <w:rsid w:val="00D476E8"/>
    <w:rsid w:val="00D7325C"/>
    <w:rsid w:val="00DD697B"/>
    <w:rsid w:val="00E52639"/>
    <w:rsid w:val="00E91FF4"/>
    <w:rsid w:val="00F23A16"/>
    <w:rsid w:val="00F43433"/>
    <w:rsid w:val="00FA6F2E"/>
    <w:rsid w:val="00FB0207"/>
    <w:rsid w:val="00FD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E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70E2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70E2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70E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70E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70E2"/>
    <w:rPr>
      <w:rFonts w:cs="Times New Roman"/>
    </w:rPr>
  </w:style>
  <w:style w:type="table" w:styleId="TableGrid">
    <w:name w:val="Table Grid"/>
    <w:basedOn w:val="TableNormal"/>
    <w:uiPriority w:val="99"/>
    <w:rsid w:val="00AC03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1</Pages>
  <Words>463</Words>
  <Characters>2640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ENTRATE</dc:title>
  <dc:subject/>
  <dc:creator>laghi</dc:creator>
  <cp:keywords/>
  <dc:description/>
  <cp:lastModifiedBy>gildai</cp:lastModifiedBy>
  <cp:revision>2</cp:revision>
  <cp:lastPrinted>2021-05-27T11:01:00Z</cp:lastPrinted>
  <dcterms:created xsi:type="dcterms:W3CDTF">2021-05-28T11:10:00Z</dcterms:created>
  <dcterms:modified xsi:type="dcterms:W3CDTF">2021-05-28T11:10:00Z</dcterms:modified>
</cp:coreProperties>
</file>